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AE92B" w14:textId="77777777" w:rsidR="00985B17" w:rsidRPr="00834B5E" w:rsidRDefault="00635B3D">
      <w:pPr>
        <w:spacing w:after="0" w:line="240" w:lineRule="auto"/>
        <w:jc w:val="center"/>
        <w:textAlignment w:val="baseline"/>
        <w:rPr>
          <w:rFonts w:ascii="黑体" w:eastAsia="黑体" w:hAnsi="黑体" w:cs="宋体"/>
          <w:b/>
          <w:bCs/>
          <w:color w:val="000000"/>
          <w:sz w:val="44"/>
          <w:szCs w:val="44"/>
          <w:lang w:eastAsia="zh-CN"/>
        </w:rPr>
      </w:pPr>
      <w:r w:rsidRPr="00834B5E">
        <w:rPr>
          <w:rFonts w:ascii="黑体" w:eastAsia="黑体" w:hAnsi="黑体" w:cs="宋体" w:hint="eastAsia"/>
          <w:b/>
          <w:bCs/>
          <w:color w:val="000000"/>
          <w:sz w:val="44"/>
          <w:szCs w:val="44"/>
          <w:lang w:eastAsia="zh-CN"/>
        </w:rPr>
        <w:t>“疫情与教育”成果公报</w:t>
      </w:r>
    </w:p>
    <w:p w14:paraId="462FC11B" w14:textId="77777777" w:rsidR="00985B17" w:rsidRPr="00834B5E" w:rsidRDefault="00635B3D">
      <w:pPr>
        <w:spacing w:after="0" w:line="240" w:lineRule="auto"/>
        <w:textAlignment w:val="baseline"/>
        <w:rPr>
          <w:rFonts w:ascii="仿宋" w:eastAsia="仿宋" w:hAnsi="仿宋" w:cs="宋体"/>
          <w:color w:val="000000"/>
          <w:sz w:val="21"/>
          <w:szCs w:val="21"/>
          <w:lang w:eastAsia="zh-CN"/>
        </w:rPr>
      </w:pPr>
      <w:r w:rsidRPr="00834B5E">
        <w:rPr>
          <w:rFonts w:ascii="仿宋" w:eastAsia="仿宋" w:hAnsi="仿宋" w:cs="宋体"/>
          <w:color w:val="000000"/>
          <w:sz w:val="21"/>
          <w:szCs w:val="21"/>
          <w:lang w:eastAsia="zh-CN"/>
        </w:rPr>
        <w:t xml:space="preserve"> 　　</w:t>
      </w:r>
    </w:p>
    <w:p w14:paraId="31100247" w14:textId="77777777" w:rsidR="00985B17" w:rsidRPr="00834B5E" w:rsidRDefault="00635B3D">
      <w:pPr>
        <w:pStyle w:val="ac"/>
        <w:numPr>
          <w:ilvl w:val="0"/>
          <w:numId w:val="1"/>
        </w:numPr>
        <w:spacing w:after="0" w:line="240" w:lineRule="auto"/>
        <w:ind w:firstLineChars="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课题名称</w:t>
      </w:r>
    </w:p>
    <w:p w14:paraId="4E3423A0" w14:textId="77777777"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《新冠肺炎疫情中对高职听障学生心理支持服务的有效性研究》</w:t>
      </w:r>
    </w:p>
    <w:p w14:paraId="4147960E" w14:textId="77777777" w:rsidR="00985B17" w:rsidRPr="00834B5E" w:rsidRDefault="00635B3D">
      <w:pPr>
        <w:pStyle w:val="ac"/>
        <w:numPr>
          <w:ilvl w:val="0"/>
          <w:numId w:val="1"/>
        </w:numPr>
        <w:spacing w:after="0" w:line="240" w:lineRule="auto"/>
        <w:ind w:firstLineChars="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内容摘要</w:t>
      </w:r>
    </w:p>
    <w:p w14:paraId="72546442" w14:textId="10F8E87D"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截止2</w:t>
      </w:r>
      <w:r w:rsidRPr="00834B5E">
        <w:rPr>
          <w:rFonts w:ascii="仿宋" w:eastAsia="仿宋" w:hAnsi="仿宋" w:cs="宋体"/>
          <w:color w:val="000000"/>
          <w:sz w:val="32"/>
          <w:szCs w:val="32"/>
          <w:lang w:eastAsia="zh-CN"/>
        </w:rPr>
        <w:t>020</w:t>
      </w:r>
      <w:r w:rsidRPr="00834B5E">
        <w:rPr>
          <w:rFonts w:ascii="仿宋" w:eastAsia="仿宋" w:hAnsi="仿宋" w:cs="宋体" w:hint="eastAsia"/>
          <w:color w:val="000000"/>
          <w:sz w:val="32"/>
          <w:szCs w:val="32"/>
          <w:lang w:eastAsia="zh-CN"/>
        </w:rPr>
        <w:t>年5月，本课题在组织课题组成员学习“疫情与教育”“心理危机干预”有关理论的基础上，组织山东特殊教育职业学院名4</w:t>
      </w:r>
      <w:r w:rsidRPr="00834B5E">
        <w:rPr>
          <w:rFonts w:ascii="仿宋" w:eastAsia="仿宋" w:hAnsi="仿宋" w:cs="宋体"/>
          <w:color w:val="000000"/>
          <w:sz w:val="32"/>
          <w:szCs w:val="32"/>
          <w:lang w:eastAsia="zh-CN"/>
        </w:rPr>
        <w:t>07</w:t>
      </w:r>
      <w:r w:rsidRPr="00834B5E">
        <w:rPr>
          <w:rFonts w:ascii="仿宋" w:eastAsia="仿宋" w:hAnsi="仿宋" w:cs="宋体" w:hint="eastAsia"/>
          <w:color w:val="000000"/>
          <w:sz w:val="32"/>
          <w:szCs w:val="32"/>
          <w:lang w:eastAsia="zh-CN"/>
        </w:rPr>
        <w:t>名大专学生（其中听障学生278人，健全学生129</w:t>
      </w:r>
      <w:r w:rsidR="00F24D98">
        <w:rPr>
          <w:rFonts w:ascii="仿宋" w:eastAsia="仿宋" w:hAnsi="仿宋" w:cs="宋体" w:hint="eastAsia"/>
          <w:color w:val="000000"/>
          <w:sz w:val="32"/>
          <w:szCs w:val="32"/>
          <w:lang w:eastAsia="zh-CN"/>
        </w:rPr>
        <w:t>人）</w:t>
      </w:r>
      <w:r w:rsidRPr="00834B5E">
        <w:rPr>
          <w:rFonts w:ascii="仿宋" w:eastAsia="仿宋" w:hAnsi="仿宋" w:cs="宋体" w:hint="eastAsia"/>
          <w:color w:val="000000"/>
          <w:sz w:val="32"/>
          <w:szCs w:val="32"/>
          <w:lang w:eastAsia="zh-CN"/>
        </w:rPr>
        <w:t>，</w:t>
      </w:r>
      <w:r w:rsidR="00F24D98">
        <w:rPr>
          <w:rFonts w:ascii="仿宋" w:eastAsia="仿宋" w:hAnsi="仿宋" w:cs="宋体" w:hint="eastAsia"/>
          <w:color w:val="000000"/>
          <w:sz w:val="32"/>
          <w:szCs w:val="32"/>
          <w:lang w:eastAsia="zh-CN"/>
        </w:rPr>
        <w:t>做</w:t>
      </w:r>
      <w:r w:rsidR="00F24D98" w:rsidRPr="00F24D98">
        <w:rPr>
          <w:rFonts w:ascii="仿宋" w:eastAsia="仿宋" w:hAnsi="仿宋" w:cs="宋体" w:hint="eastAsia"/>
          <w:color w:val="000000"/>
          <w:sz w:val="32"/>
          <w:szCs w:val="32"/>
          <w:lang w:eastAsia="zh-CN"/>
        </w:rPr>
        <w:t>《症状自评量表SCL-90》</w:t>
      </w:r>
      <w:r w:rsidR="00F24D98">
        <w:rPr>
          <w:rFonts w:ascii="仿宋" w:eastAsia="仿宋" w:hAnsi="仿宋" w:cs="宋体" w:hint="eastAsia"/>
          <w:color w:val="000000"/>
          <w:sz w:val="32"/>
          <w:szCs w:val="32"/>
          <w:lang w:eastAsia="zh-CN"/>
        </w:rPr>
        <w:t>测试</w:t>
      </w:r>
      <w:r w:rsidRPr="00834B5E">
        <w:rPr>
          <w:rFonts w:ascii="仿宋" w:eastAsia="仿宋" w:hAnsi="仿宋" w:cs="宋体" w:hint="eastAsia"/>
          <w:color w:val="000000"/>
          <w:sz w:val="32"/>
          <w:szCs w:val="32"/>
          <w:lang w:eastAsia="zh-CN"/>
        </w:rPr>
        <w:t>对学生在疫情防控期间的</w:t>
      </w:r>
      <w:r w:rsidR="00F24D98">
        <w:rPr>
          <w:rFonts w:ascii="仿宋" w:eastAsia="仿宋" w:hAnsi="仿宋" w:cs="宋体" w:hint="eastAsia"/>
          <w:color w:val="000000"/>
          <w:sz w:val="32"/>
          <w:szCs w:val="32"/>
          <w:lang w:eastAsia="zh-CN"/>
        </w:rPr>
        <w:t>心理健康</w:t>
      </w:r>
      <w:r w:rsidR="00F24D98">
        <w:rPr>
          <w:rFonts w:ascii="仿宋" w:eastAsia="仿宋" w:hAnsi="仿宋" w:cs="宋体"/>
          <w:color w:val="000000"/>
          <w:sz w:val="32"/>
          <w:szCs w:val="32"/>
          <w:lang w:eastAsia="zh-CN"/>
        </w:rPr>
        <w:t>状况</w:t>
      </w:r>
      <w:r w:rsidRPr="00834B5E">
        <w:rPr>
          <w:rFonts w:ascii="仿宋" w:eastAsia="仿宋" w:hAnsi="仿宋" w:cs="宋体" w:hint="eastAsia"/>
          <w:color w:val="000000"/>
          <w:sz w:val="32"/>
          <w:szCs w:val="32"/>
          <w:lang w:eastAsia="zh-CN"/>
        </w:rPr>
        <w:t>进行分析，并参照心理学相关理论及以往经验，有序开展心理支持服务，组织实施以防疫科普宣传、班级团体心理辅导为主的学生团体心理支持。后续将通过《症状自评量表SCL</w:t>
      </w:r>
      <w:r w:rsidRPr="00834B5E">
        <w:rPr>
          <w:rFonts w:ascii="仿宋" w:eastAsia="仿宋" w:hAnsi="仿宋" w:cs="宋体"/>
          <w:color w:val="000000"/>
          <w:sz w:val="32"/>
          <w:szCs w:val="32"/>
          <w:lang w:eastAsia="zh-CN"/>
        </w:rPr>
        <w:t>-</w:t>
      </w:r>
      <w:r w:rsidRPr="00834B5E">
        <w:rPr>
          <w:rFonts w:ascii="仿宋" w:eastAsia="仿宋" w:hAnsi="仿宋" w:cs="宋体" w:hint="eastAsia"/>
          <w:color w:val="000000"/>
          <w:sz w:val="32"/>
          <w:szCs w:val="32"/>
          <w:lang w:eastAsia="zh-CN"/>
        </w:rPr>
        <w:t>90》对团体心理支持有效性进行分析，及时调整心理支持服务方法，筛选出个别需要进行心理辅导的学生，有针对性的进行心理支持。</w:t>
      </w:r>
    </w:p>
    <w:p w14:paraId="2A973BA1" w14:textId="77777777" w:rsidR="00985B17" w:rsidRPr="00834B5E" w:rsidRDefault="00635B3D">
      <w:pPr>
        <w:spacing w:after="0" w:line="240" w:lineRule="auto"/>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三、关键词</w:t>
      </w:r>
    </w:p>
    <w:p w14:paraId="06D74883" w14:textId="77777777" w:rsidR="00985B17" w:rsidRPr="00834B5E" w:rsidRDefault="00635B3D">
      <w:pPr>
        <w:pStyle w:val="ac"/>
        <w:spacing w:after="0" w:line="240" w:lineRule="auto"/>
        <w:ind w:left="720" w:firstLineChars="0" w:firstLine="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听障学生、心理支持、新冠肺炎疫情</w:t>
      </w:r>
    </w:p>
    <w:p w14:paraId="0C0585D6" w14:textId="77777777" w:rsidR="00985B17" w:rsidRPr="00834B5E" w:rsidRDefault="00635B3D">
      <w:pPr>
        <w:spacing w:after="0" w:line="240" w:lineRule="auto"/>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四、引言</w:t>
      </w:r>
    </w:p>
    <w:p w14:paraId="4AEC17B7" w14:textId="7A4CA9D4"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山东特殊教育职业学院黄艳华主持的《新冠肺炎疫情中对高职听障学生心理支持服务的有效性研究》</w:t>
      </w:r>
      <w:r w:rsidR="00846D10">
        <w:rPr>
          <w:rFonts w:ascii="仿宋" w:eastAsia="仿宋" w:hAnsi="仿宋" w:cs="宋体"/>
          <w:color w:val="000000"/>
          <w:sz w:val="32"/>
          <w:szCs w:val="32"/>
          <w:lang w:eastAsia="zh-CN"/>
        </w:rPr>
        <w:t>课题编号：</w:t>
      </w:r>
      <w:r w:rsidR="00846D10" w:rsidRPr="000A3078">
        <w:rPr>
          <w:rFonts w:ascii="仿宋" w:eastAsia="仿宋" w:hAnsi="仿宋" w:cs="宋体"/>
          <w:color w:val="000000"/>
          <w:sz w:val="32"/>
          <w:szCs w:val="32"/>
          <w:lang w:eastAsia="zh-CN"/>
        </w:rPr>
        <w:t>ZG022</w:t>
      </w:r>
      <w:r w:rsidR="00846D10">
        <w:rPr>
          <w:rFonts w:ascii="仿宋" w:eastAsia="仿宋" w:hAnsi="仿宋" w:cs="宋体"/>
          <w:color w:val="000000"/>
          <w:sz w:val="32"/>
          <w:szCs w:val="32"/>
          <w:lang w:eastAsia="zh-CN"/>
        </w:rPr>
        <w:t>，</w:t>
      </w:r>
      <w:bookmarkStart w:id="0" w:name="_GoBack"/>
      <w:bookmarkEnd w:id="0"/>
      <w:r w:rsidRPr="00834B5E">
        <w:rPr>
          <w:rFonts w:ascii="仿宋" w:eastAsia="仿宋" w:hAnsi="仿宋" w:cs="宋体" w:hint="eastAsia"/>
          <w:color w:val="000000"/>
          <w:sz w:val="32"/>
          <w:szCs w:val="32"/>
          <w:lang w:eastAsia="zh-CN"/>
        </w:rPr>
        <w:t>是2020年山东省教育科学规划课题“疫情与</w:t>
      </w:r>
      <w:r w:rsidRPr="00834B5E">
        <w:rPr>
          <w:rFonts w:ascii="仿宋" w:eastAsia="仿宋" w:hAnsi="仿宋" w:cs="宋体" w:hint="eastAsia"/>
          <w:color w:val="000000"/>
          <w:sz w:val="32"/>
          <w:szCs w:val="32"/>
          <w:lang w:eastAsia="zh-CN"/>
        </w:rPr>
        <w:lastRenderedPageBreak/>
        <w:t>教育”专项课题，课题于2020年4月批准立项，</w:t>
      </w:r>
      <w:r w:rsidRPr="00834B5E">
        <w:rPr>
          <w:rFonts w:ascii="仿宋" w:eastAsia="仿宋" w:hAnsi="仿宋" w:cs="宋体" w:hint="eastAsia"/>
          <w:color w:val="FF0000"/>
          <w:sz w:val="32"/>
          <w:szCs w:val="32"/>
          <w:lang w:eastAsia="zh-CN"/>
        </w:rPr>
        <w:t>课题组成员包括付文涛、袁斐、杨海宁、</w:t>
      </w:r>
      <w:r w:rsidRPr="00834B5E">
        <w:rPr>
          <w:rFonts w:ascii="仿宋" w:eastAsia="仿宋" w:hAnsi="仿宋" w:cs="宋体"/>
          <w:color w:val="FF0000"/>
          <w:sz w:val="32"/>
          <w:szCs w:val="32"/>
          <w:lang w:eastAsia="zh-CN"/>
        </w:rPr>
        <w:t>任爱凤、</w:t>
      </w:r>
      <w:r w:rsidRPr="00834B5E">
        <w:rPr>
          <w:rFonts w:ascii="仿宋" w:eastAsia="仿宋" w:hAnsi="仿宋" w:cs="宋体" w:hint="eastAsia"/>
          <w:color w:val="FF0000"/>
          <w:sz w:val="32"/>
          <w:szCs w:val="32"/>
          <w:lang w:eastAsia="zh-CN"/>
        </w:rPr>
        <w:t>侯玉娇、谢春宇老师。</w:t>
      </w:r>
      <w:r w:rsidRPr="00834B5E">
        <w:rPr>
          <w:rFonts w:ascii="仿宋" w:eastAsia="仿宋" w:hAnsi="仿宋" w:cs="宋体" w:hint="eastAsia"/>
          <w:color w:val="000000"/>
          <w:sz w:val="32"/>
          <w:szCs w:val="32"/>
          <w:lang w:eastAsia="zh-CN"/>
        </w:rPr>
        <w:t>本课题旨在通过研究分析新冠肺炎疫情中对听障学生开展的心理支持服务的有效性，进一步丰富心理支持服务内涵，建立有针对性的、适合听障学生特点的有效心理支持服务机制和体系，为其他兄弟院校对听障学生开展心理支持服务时，提供可借鉴的理论成果和体系。</w:t>
      </w:r>
    </w:p>
    <w:p w14:paraId="5E56B16D" w14:textId="77777777" w:rsidR="00985B17" w:rsidRPr="00834B5E" w:rsidRDefault="00635B3D">
      <w:pPr>
        <w:spacing w:after="0" w:line="240" w:lineRule="auto"/>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五、成果内容</w:t>
      </w:r>
    </w:p>
    <w:p w14:paraId="3EE19CA8" w14:textId="106117B3" w:rsidR="00985B17"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1.</w:t>
      </w:r>
      <w:r w:rsidR="00635B3D" w:rsidRPr="00834B5E">
        <w:rPr>
          <w:rFonts w:ascii="仿宋" w:eastAsia="仿宋" w:hAnsi="仿宋" w:cs="宋体" w:hint="eastAsia"/>
          <w:color w:val="000000"/>
          <w:sz w:val="32"/>
          <w:szCs w:val="32"/>
          <w:lang w:eastAsia="zh-CN"/>
        </w:rPr>
        <w:t>问题起源</w:t>
      </w:r>
    </w:p>
    <w:p w14:paraId="7043AEBF" w14:textId="77777777"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自新冠肺炎疫情发生以来，人们的学习、生活、工作等都发生了前所未有的巨大变化，并随之出现各种不同程度的心理困惑和心理问题。目前国内外对突发公共卫生事件等应急管理中的心理干预有比较丰富的经验，对于常态下听障学生的心理健康问题也有一定研究，但是对于类似此次新冠肺炎疫情的突发公共卫生事件中，有针对性地对听障学生这一特殊群体给予有效的心理支持服务方面的研究尚属空白。因此，通过本课题的研究，分析新冠肺炎疫情中对听障学生开展的心理支持服务的有效性，进一步丰富心理支持服务内涵，建立有针对性的、适合听障学生特点的有效心理支持服务机制和体系，具有重要的理论和现实意义。</w:t>
      </w:r>
      <w:r w:rsidRPr="00834B5E">
        <w:rPr>
          <w:rFonts w:ascii="仿宋" w:eastAsia="仿宋" w:hAnsi="仿宋" w:cs="宋体"/>
          <w:color w:val="000000"/>
          <w:sz w:val="32"/>
          <w:szCs w:val="32"/>
          <w:lang w:eastAsia="zh-CN"/>
        </w:rPr>
        <w:t xml:space="preserve"> </w:t>
      </w:r>
    </w:p>
    <w:p w14:paraId="6F93CDCB" w14:textId="0B1FB1D2" w:rsidR="00985B17" w:rsidRPr="00834B5E" w:rsidRDefault="006E37AF" w:rsidP="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w:t>
      </w:r>
      <w:r w:rsidR="00635B3D" w:rsidRPr="00834B5E">
        <w:rPr>
          <w:rFonts w:ascii="仿宋" w:eastAsia="仿宋" w:hAnsi="仿宋" w:cs="宋体" w:hint="eastAsia"/>
          <w:color w:val="000000"/>
          <w:sz w:val="32"/>
          <w:szCs w:val="32"/>
          <w:lang w:eastAsia="zh-CN"/>
        </w:rPr>
        <w:t>研究内容与方法</w:t>
      </w:r>
    </w:p>
    <w:p w14:paraId="144AE10E" w14:textId="24182903" w:rsidR="00985B17"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lastRenderedPageBreak/>
        <w:t>（1）</w:t>
      </w:r>
      <w:r w:rsidR="00635B3D" w:rsidRPr="00834B5E">
        <w:rPr>
          <w:rFonts w:ascii="仿宋" w:eastAsia="仿宋" w:hAnsi="仿宋" w:cs="宋体" w:hint="eastAsia"/>
          <w:color w:val="000000"/>
          <w:sz w:val="32"/>
          <w:szCs w:val="32"/>
          <w:lang w:eastAsia="zh-CN"/>
        </w:rPr>
        <w:t>文献资料法：搜索与本研究相关的国内外同类文献资料，梳理、分析、归纳、总结。</w:t>
      </w:r>
    </w:p>
    <w:p w14:paraId="17A896C0" w14:textId="5E4E7EEF" w:rsidR="00985B17"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w:t>
      </w:r>
      <w:r w:rsidR="00635B3D" w:rsidRPr="00834B5E">
        <w:rPr>
          <w:rFonts w:ascii="仿宋" w:eastAsia="仿宋" w:hAnsi="仿宋" w:cs="宋体" w:hint="eastAsia"/>
          <w:color w:val="000000"/>
          <w:sz w:val="32"/>
          <w:szCs w:val="32"/>
          <w:lang w:eastAsia="zh-CN"/>
        </w:rPr>
        <w:t>量表测试法：使用</w:t>
      </w:r>
      <w:bookmarkStart w:id="1" w:name="_Hlk51836439"/>
      <w:r w:rsidR="00635B3D" w:rsidRPr="00834B5E">
        <w:rPr>
          <w:rFonts w:ascii="仿宋" w:eastAsia="仿宋" w:hAnsi="仿宋" w:cs="宋体" w:hint="eastAsia"/>
          <w:color w:val="000000"/>
          <w:sz w:val="32"/>
          <w:szCs w:val="32"/>
          <w:lang w:eastAsia="zh-CN"/>
        </w:rPr>
        <w:t>《症状自评量表SCL-90》</w:t>
      </w:r>
      <w:bookmarkEnd w:id="1"/>
      <w:r w:rsidR="00635B3D" w:rsidRPr="00834B5E">
        <w:rPr>
          <w:rFonts w:ascii="仿宋" w:eastAsia="仿宋" w:hAnsi="仿宋" w:cs="宋体" w:hint="eastAsia"/>
          <w:color w:val="000000"/>
          <w:sz w:val="32"/>
          <w:szCs w:val="32"/>
          <w:lang w:eastAsia="zh-CN"/>
        </w:rPr>
        <w:t>从感觉、情感、思维、意识、行为直至生活习惯、人际关系、饮食睡眠等方面测试听障学生在疫情爆发初期、大规模扩散期、实施心理支持服务后听障学生的心理症状表现进行分析比对，对疫情后心理支持服务做一步调整修订，进一步对听障学生的心理做有效疏导，监测。</w:t>
      </w:r>
    </w:p>
    <w:p w14:paraId="5E178F19" w14:textId="7083E855" w:rsidR="00985B17"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3</w:t>
      </w:r>
      <w:r>
        <w:rPr>
          <w:rFonts w:ascii="仿宋" w:eastAsia="仿宋" w:hAnsi="仿宋" w:cs="宋体"/>
          <w:color w:val="000000"/>
          <w:sz w:val="32"/>
          <w:szCs w:val="32"/>
          <w:lang w:eastAsia="zh-CN"/>
        </w:rPr>
        <w:t>.</w:t>
      </w:r>
      <w:r w:rsidR="00635B3D" w:rsidRPr="00834B5E">
        <w:rPr>
          <w:rFonts w:ascii="仿宋" w:eastAsia="仿宋" w:hAnsi="仿宋" w:cs="宋体" w:hint="eastAsia"/>
          <w:color w:val="000000"/>
          <w:sz w:val="32"/>
          <w:szCs w:val="32"/>
          <w:lang w:eastAsia="zh-CN"/>
        </w:rPr>
        <w:t>研究</w:t>
      </w:r>
      <w:r>
        <w:rPr>
          <w:rFonts w:ascii="仿宋" w:eastAsia="仿宋" w:hAnsi="仿宋" w:cs="宋体" w:hint="eastAsia"/>
          <w:color w:val="000000"/>
          <w:sz w:val="32"/>
          <w:szCs w:val="32"/>
          <w:lang w:eastAsia="zh-CN"/>
        </w:rPr>
        <w:t>结论</w:t>
      </w:r>
    </w:p>
    <w:p w14:paraId="5F970ED9" w14:textId="5961D7AE"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为了全面客观的了解不同学生群体学生在面对疫情初期的心理反应与健康状况，为后续进行心理干预与支持服务提供依据，</w:t>
      </w:r>
      <w:r w:rsidR="00F24D98">
        <w:rPr>
          <w:rFonts w:ascii="仿宋" w:eastAsia="仿宋" w:hAnsi="仿宋" w:cs="宋体"/>
          <w:color w:val="000000"/>
          <w:sz w:val="32"/>
          <w:szCs w:val="32"/>
          <w:lang w:eastAsia="zh-CN"/>
        </w:rPr>
        <w:t>课题组</w:t>
      </w:r>
      <w:r w:rsidR="00F24D98" w:rsidRPr="00F24D98">
        <w:rPr>
          <w:rFonts w:ascii="仿宋" w:eastAsia="仿宋" w:hAnsi="仿宋" w:cs="宋体" w:hint="eastAsia"/>
          <w:color w:val="000000"/>
          <w:sz w:val="32"/>
          <w:szCs w:val="32"/>
          <w:lang w:eastAsia="zh-CN"/>
        </w:rPr>
        <w:t>通过问卷调查的方式，对山东特殊教育职业学院名407名大专学生（其中听障学生278人，健全学生129人）进行了《症状自评量表SCL-90》测试，对学生在疫情防控期间的心理反应症状进行总结，听障生/健全生在各项异常因子学生比例、平均分差异见附录表1、表2。通过心对比可知，听障学生在面对疫情时，各项异常因子的学生比例和平均分率都较健全学生高，因此需要对听障学生采取心理支持服务进行干预，使他们能够正确面对疫情带来的心理冲击。</w:t>
      </w:r>
    </w:p>
    <w:p w14:paraId="0608C469" w14:textId="2D0EF7EA" w:rsidR="00985B17" w:rsidRDefault="00985B17">
      <w:pPr>
        <w:spacing w:after="0" w:line="240" w:lineRule="auto"/>
        <w:ind w:firstLineChars="200" w:firstLine="640"/>
        <w:textAlignment w:val="baseline"/>
        <w:rPr>
          <w:rFonts w:ascii="仿宋" w:eastAsia="仿宋" w:hAnsi="仿宋" w:cs="宋体"/>
          <w:color w:val="000000"/>
          <w:sz w:val="32"/>
          <w:szCs w:val="32"/>
          <w:lang w:eastAsia="zh-CN"/>
        </w:rPr>
      </w:pPr>
    </w:p>
    <w:p w14:paraId="31715EA4" w14:textId="77777777" w:rsidR="006E37AF"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894"/>
        <w:gridCol w:w="698"/>
        <w:gridCol w:w="593"/>
        <w:gridCol w:w="608"/>
        <w:gridCol w:w="620"/>
        <w:gridCol w:w="756"/>
        <w:gridCol w:w="610"/>
        <w:gridCol w:w="616"/>
        <w:gridCol w:w="625"/>
        <w:gridCol w:w="579"/>
        <w:gridCol w:w="675"/>
        <w:gridCol w:w="993"/>
      </w:tblGrid>
      <w:tr w:rsidR="005665F1" w:rsidRPr="005665F1" w14:paraId="685F1E5A" w14:textId="77777777" w:rsidTr="00E8725C">
        <w:trPr>
          <w:trHeight w:val="405"/>
        </w:trPr>
        <w:tc>
          <w:tcPr>
            <w:tcW w:w="1231" w:type="dxa"/>
            <w:shd w:val="clear" w:color="auto" w:fill="auto"/>
            <w:noWrap/>
            <w:hideMark/>
          </w:tcPr>
          <w:p w14:paraId="23867893"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lastRenderedPageBreak/>
              <w:t>项目</w:t>
            </w:r>
          </w:p>
        </w:tc>
        <w:tc>
          <w:tcPr>
            <w:tcW w:w="894" w:type="dxa"/>
            <w:shd w:val="clear" w:color="auto" w:fill="auto"/>
            <w:noWrap/>
            <w:hideMark/>
          </w:tcPr>
          <w:p w14:paraId="78CC5B1E"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躯体化</w:t>
            </w:r>
          </w:p>
        </w:tc>
        <w:tc>
          <w:tcPr>
            <w:tcW w:w="698" w:type="dxa"/>
            <w:shd w:val="clear" w:color="auto" w:fill="auto"/>
            <w:noWrap/>
            <w:hideMark/>
          </w:tcPr>
          <w:p w14:paraId="52D0852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强迫症状</w:t>
            </w:r>
          </w:p>
        </w:tc>
        <w:tc>
          <w:tcPr>
            <w:tcW w:w="593" w:type="dxa"/>
            <w:shd w:val="clear" w:color="auto" w:fill="auto"/>
            <w:noWrap/>
            <w:hideMark/>
          </w:tcPr>
          <w:p w14:paraId="24923C82"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人际关系敏感</w:t>
            </w:r>
          </w:p>
        </w:tc>
        <w:tc>
          <w:tcPr>
            <w:tcW w:w="608" w:type="dxa"/>
            <w:shd w:val="clear" w:color="auto" w:fill="auto"/>
            <w:noWrap/>
            <w:hideMark/>
          </w:tcPr>
          <w:p w14:paraId="1928184D"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抑郁</w:t>
            </w:r>
          </w:p>
        </w:tc>
        <w:tc>
          <w:tcPr>
            <w:tcW w:w="620" w:type="dxa"/>
            <w:shd w:val="clear" w:color="auto" w:fill="auto"/>
            <w:noWrap/>
            <w:hideMark/>
          </w:tcPr>
          <w:p w14:paraId="323909FB"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焦虑</w:t>
            </w:r>
          </w:p>
        </w:tc>
        <w:tc>
          <w:tcPr>
            <w:tcW w:w="756" w:type="dxa"/>
            <w:shd w:val="clear" w:color="auto" w:fill="auto"/>
            <w:noWrap/>
            <w:hideMark/>
          </w:tcPr>
          <w:p w14:paraId="5140AB03"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敌对</w:t>
            </w:r>
          </w:p>
        </w:tc>
        <w:tc>
          <w:tcPr>
            <w:tcW w:w="610" w:type="dxa"/>
            <w:shd w:val="clear" w:color="auto" w:fill="auto"/>
            <w:noWrap/>
            <w:hideMark/>
          </w:tcPr>
          <w:p w14:paraId="38ED813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恐怖</w:t>
            </w:r>
          </w:p>
        </w:tc>
        <w:tc>
          <w:tcPr>
            <w:tcW w:w="616" w:type="dxa"/>
            <w:shd w:val="clear" w:color="auto" w:fill="auto"/>
            <w:noWrap/>
            <w:hideMark/>
          </w:tcPr>
          <w:p w14:paraId="0A82B66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偏执</w:t>
            </w:r>
          </w:p>
        </w:tc>
        <w:tc>
          <w:tcPr>
            <w:tcW w:w="625" w:type="dxa"/>
            <w:shd w:val="clear" w:color="auto" w:fill="auto"/>
            <w:noWrap/>
            <w:hideMark/>
          </w:tcPr>
          <w:p w14:paraId="539C79B0"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精神病性</w:t>
            </w:r>
          </w:p>
        </w:tc>
        <w:tc>
          <w:tcPr>
            <w:tcW w:w="579" w:type="dxa"/>
            <w:shd w:val="clear" w:color="auto" w:fill="auto"/>
            <w:noWrap/>
            <w:hideMark/>
          </w:tcPr>
          <w:p w14:paraId="34F540D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其他</w:t>
            </w:r>
          </w:p>
        </w:tc>
        <w:tc>
          <w:tcPr>
            <w:tcW w:w="675" w:type="dxa"/>
            <w:shd w:val="clear" w:color="auto" w:fill="auto"/>
            <w:noWrap/>
            <w:hideMark/>
          </w:tcPr>
          <w:p w14:paraId="3FC51ACC"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总分</w:t>
            </w:r>
          </w:p>
        </w:tc>
        <w:tc>
          <w:tcPr>
            <w:tcW w:w="993" w:type="dxa"/>
            <w:shd w:val="clear" w:color="auto" w:fill="auto"/>
            <w:noWrap/>
            <w:hideMark/>
          </w:tcPr>
          <w:p w14:paraId="07A1E1C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总均分</w:t>
            </w:r>
          </w:p>
        </w:tc>
      </w:tr>
      <w:tr w:rsidR="005665F1" w:rsidRPr="005665F1" w14:paraId="6129A458" w14:textId="77777777" w:rsidTr="00E8725C">
        <w:trPr>
          <w:trHeight w:val="465"/>
        </w:trPr>
        <w:tc>
          <w:tcPr>
            <w:tcW w:w="1231" w:type="dxa"/>
            <w:shd w:val="clear" w:color="auto" w:fill="auto"/>
            <w:noWrap/>
            <w:hideMark/>
          </w:tcPr>
          <w:p w14:paraId="241C501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听障生</w:t>
            </w:r>
          </w:p>
        </w:tc>
        <w:tc>
          <w:tcPr>
            <w:tcW w:w="894" w:type="dxa"/>
            <w:shd w:val="clear" w:color="auto" w:fill="auto"/>
            <w:noWrap/>
            <w:hideMark/>
          </w:tcPr>
          <w:p w14:paraId="6D3963A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w:t>
            </w:r>
          </w:p>
        </w:tc>
        <w:tc>
          <w:tcPr>
            <w:tcW w:w="698" w:type="dxa"/>
            <w:shd w:val="clear" w:color="auto" w:fill="auto"/>
            <w:noWrap/>
            <w:hideMark/>
          </w:tcPr>
          <w:p w14:paraId="4DB22EE7"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w:t>
            </w:r>
          </w:p>
        </w:tc>
        <w:tc>
          <w:tcPr>
            <w:tcW w:w="593" w:type="dxa"/>
            <w:shd w:val="clear" w:color="auto" w:fill="auto"/>
            <w:noWrap/>
            <w:hideMark/>
          </w:tcPr>
          <w:p w14:paraId="47BE3759"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11%</w:t>
            </w:r>
          </w:p>
        </w:tc>
        <w:tc>
          <w:tcPr>
            <w:tcW w:w="608" w:type="dxa"/>
            <w:shd w:val="clear" w:color="auto" w:fill="auto"/>
            <w:noWrap/>
            <w:hideMark/>
          </w:tcPr>
          <w:p w14:paraId="675E2C9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10%</w:t>
            </w:r>
          </w:p>
        </w:tc>
        <w:tc>
          <w:tcPr>
            <w:tcW w:w="620" w:type="dxa"/>
            <w:shd w:val="clear" w:color="auto" w:fill="auto"/>
            <w:noWrap/>
            <w:hideMark/>
          </w:tcPr>
          <w:p w14:paraId="22E1A633"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14%</w:t>
            </w:r>
          </w:p>
        </w:tc>
        <w:tc>
          <w:tcPr>
            <w:tcW w:w="756" w:type="dxa"/>
            <w:shd w:val="clear" w:color="auto" w:fill="auto"/>
            <w:noWrap/>
            <w:hideMark/>
          </w:tcPr>
          <w:p w14:paraId="45B1CA5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18%</w:t>
            </w:r>
          </w:p>
        </w:tc>
        <w:tc>
          <w:tcPr>
            <w:tcW w:w="610" w:type="dxa"/>
            <w:shd w:val="clear" w:color="auto" w:fill="auto"/>
            <w:noWrap/>
            <w:hideMark/>
          </w:tcPr>
          <w:p w14:paraId="50AC6750"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25%</w:t>
            </w:r>
          </w:p>
        </w:tc>
        <w:tc>
          <w:tcPr>
            <w:tcW w:w="616" w:type="dxa"/>
            <w:shd w:val="clear" w:color="auto" w:fill="auto"/>
            <w:noWrap/>
            <w:hideMark/>
          </w:tcPr>
          <w:p w14:paraId="01043DA3"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12%</w:t>
            </w:r>
          </w:p>
        </w:tc>
        <w:tc>
          <w:tcPr>
            <w:tcW w:w="625" w:type="dxa"/>
            <w:shd w:val="clear" w:color="auto" w:fill="auto"/>
            <w:noWrap/>
            <w:hideMark/>
          </w:tcPr>
          <w:p w14:paraId="1ABD33F7"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10%</w:t>
            </w:r>
          </w:p>
        </w:tc>
        <w:tc>
          <w:tcPr>
            <w:tcW w:w="579" w:type="dxa"/>
            <w:shd w:val="clear" w:color="auto" w:fill="auto"/>
            <w:noWrap/>
            <w:hideMark/>
          </w:tcPr>
          <w:p w14:paraId="677F427A"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30%</w:t>
            </w:r>
          </w:p>
        </w:tc>
        <w:tc>
          <w:tcPr>
            <w:tcW w:w="675" w:type="dxa"/>
            <w:shd w:val="clear" w:color="auto" w:fill="auto"/>
            <w:noWrap/>
            <w:hideMark/>
          </w:tcPr>
          <w:p w14:paraId="18262D0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34%</w:t>
            </w:r>
          </w:p>
        </w:tc>
        <w:tc>
          <w:tcPr>
            <w:tcW w:w="993" w:type="dxa"/>
            <w:shd w:val="clear" w:color="auto" w:fill="auto"/>
            <w:noWrap/>
            <w:hideMark/>
          </w:tcPr>
          <w:p w14:paraId="0B9B5572"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21%</w:t>
            </w:r>
          </w:p>
        </w:tc>
      </w:tr>
      <w:tr w:rsidR="005665F1" w:rsidRPr="005665F1" w14:paraId="30C02300" w14:textId="77777777" w:rsidTr="00E8725C">
        <w:trPr>
          <w:trHeight w:val="525"/>
        </w:trPr>
        <w:tc>
          <w:tcPr>
            <w:tcW w:w="1231" w:type="dxa"/>
            <w:shd w:val="clear" w:color="auto" w:fill="auto"/>
            <w:noWrap/>
            <w:hideMark/>
          </w:tcPr>
          <w:p w14:paraId="1592AB13"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健全生</w:t>
            </w:r>
          </w:p>
        </w:tc>
        <w:tc>
          <w:tcPr>
            <w:tcW w:w="894" w:type="dxa"/>
            <w:shd w:val="clear" w:color="auto" w:fill="auto"/>
            <w:noWrap/>
            <w:hideMark/>
          </w:tcPr>
          <w:p w14:paraId="36B9A8FB" w14:textId="77777777" w:rsidR="005665F1" w:rsidRPr="005665F1" w:rsidRDefault="005665F1" w:rsidP="005665F1">
            <w:pPr>
              <w:widowControl w:val="0"/>
              <w:spacing w:after="0" w:line="360" w:lineRule="exact"/>
              <w:jc w:val="both"/>
              <w:rPr>
                <w:kern w:val="2"/>
                <w:sz w:val="21"/>
                <w:szCs w:val="20"/>
                <w:lang w:eastAsia="zh-CN"/>
              </w:rPr>
            </w:pPr>
            <w:r w:rsidRPr="005665F1">
              <w:rPr>
                <w:kern w:val="2"/>
                <w:sz w:val="21"/>
                <w:szCs w:val="20"/>
                <w:lang w:eastAsia="zh-CN"/>
              </w:rPr>
              <w:t>7</w:t>
            </w:r>
            <w:r w:rsidRPr="005665F1">
              <w:rPr>
                <w:rFonts w:hint="eastAsia"/>
                <w:kern w:val="2"/>
                <w:sz w:val="21"/>
                <w:szCs w:val="20"/>
                <w:lang w:eastAsia="zh-CN"/>
              </w:rPr>
              <w:t>%</w:t>
            </w:r>
          </w:p>
        </w:tc>
        <w:tc>
          <w:tcPr>
            <w:tcW w:w="698" w:type="dxa"/>
            <w:shd w:val="clear" w:color="auto" w:fill="auto"/>
            <w:noWrap/>
            <w:hideMark/>
          </w:tcPr>
          <w:p w14:paraId="0B947E0D"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w:t>
            </w:r>
          </w:p>
        </w:tc>
        <w:tc>
          <w:tcPr>
            <w:tcW w:w="593" w:type="dxa"/>
            <w:shd w:val="clear" w:color="auto" w:fill="auto"/>
            <w:noWrap/>
            <w:hideMark/>
          </w:tcPr>
          <w:p w14:paraId="5AB47C8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10</w:t>
            </w:r>
            <w:r w:rsidRPr="005665F1">
              <w:rPr>
                <w:kern w:val="2"/>
                <w:sz w:val="21"/>
                <w:szCs w:val="20"/>
                <w:lang w:eastAsia="zh-CN"/>
              </w:rPr>
              <w:t>%</w:t>
            </w:r>
          </w:p>
        </w:tc>
        <w:tc>
          <w:tcPr>
            <w:tcW w:w="608" w:type="dxa"/>
            <w:shd w:val="clear" w:color="auto" w:fill="auto"/>
            <w:noWrap/>
            <w:hideMark/>
          </w:tcPr>
          <w:p w14:paraId="591A5601" w14:textId="77777777" w:rsidR="005665F1" w:rsidRPr="005665F1" w:rsidRDefault="005665F1" w:rsidP="005665F1">
            <w:pPr>
              <w:widowControl w:val="0"/>
              <w:spacing w:after="0" w:line="360" w:lineRule="exact"/>
              <w:jc w:val="both"/>
              <w:rPr>
                <w:kern w:val="2"/>
                <w:sz w:val="21"/>
                <w:szCs w:val="20"/>
                <w:lang w:eastAsia="zh-CN"/>
              </w:rPr>
            </w:pPr>
            <w:r w:rsidRPr="005665F1">
              <w:rPr>
                <w:kern w:val="2"/>
                <w:sz w:val="21"/>
                <w:szCs w:val="20"/>
                <w:lang w:eastAsia="zh-CN"/>
              </w:rPr>
              <w:t>5</w:t>
            </w:r>
            <w:r w:rsidRPr="005665F1">
              <w:rPr>
                <w:rFonts w:hint="eastAsia"/>
                <w:kern w:val="2"/>
                <w:sz w:val="21"/>
                <w:szCs w:val="20"/>
                <w:lang w:eastAsia="zh-CN"/>
              </w:rPr>
              <w:t>%</w:t>
            </w:r>
          </w:p>
        </w:tc>
        <w:tc>
          <w:tcPr>
            <w:tcW w:w="620" w:type="dxa"/>
            <w:shd w:val="clear" w:color="auto" w:fill="auto"/>
            <w:noWrap/>
            <w:hideMark/>
          </w:tcPr>
          <w:p w14:paraId="62625414"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5%</w:t>
            </w:r>
          </w:p>
        </w:tc>
        <w:tc>
          <w:tcPr>
            <w:tcW w:w="756" w:type="dxa"/>
            <w:shd w:val="clear" w:color="auto" w:fill="auto"/>
            <w:noWrap/>
            <w:hideMark/>
          </w:tcPr>
          <w:p w14:paraId="71407CCC"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7%</w:t>
            </w:r>
          </w:p>
        </w:tc>
        <w:tc>
          <w:tcPr>
            <w:tcW w:w="610" w:type="dxa"/>
            <w:shd w:val="clear" w:color="auto" w:fill="auto"/>
            <w:noWrap/>
            <w:hideMark/>
          </w:tcPr>
          <w:p w14:paraId="52008FC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6%</w:t>
            </w:r>
          </w:p>
        </w:tc>
        <w:tc>
          <w:tcPr>
            <w:tcW w:w="616" w:type="dxa"/>
            <w:shd w:val="clear" w:color="auto" w:fill="auto"/>
            <w:noWrap/>
            <w:hideMark/>
          </w:tcPr>
          <w:p w14:paraId="7A988DE5"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4%</w:t>
            </w:r>
          </w:p>
        </w:tc>
        <w:tc>
          <w:tcPr>
            <w:tcW w:w="625" w:type="dxa"/>
            <w:shd w:val="clear" w:color="auto" w:fill="auto"/>
            <w:noWrap/>
            <w:hideMark/>
          </w:tcPr>
          <w:p w14:paraId="49888AC5"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5%</w:t>
            </w:r>
          </w:p>
        </w:tc>
        <w:tc>
          <w:tcPr>
            <w:tcW w:w="579" w:type="dxa"/>
            <w:shd w:val="clear" w:color="auto" w:fill="auto"/>
            <w:noWrap/>
            <w:hideMark/>
          </w:tcPr>
          <w:p w14:paraId="164075B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11%</w:t>
            </w:r>
          </w:p>
        </w:tc>
        <w:tc>
          <w:tcPr>
            <w:tcW w:w="675" w:type="dxa"/>
            <w:shd w:val="clear" w:color="auto" w:fill="auto"/>
            <w:noWrap/>
            <w:hideMark/>
          </w:tcPr>
          <w:p w14:paraId="41F0D8A1"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12%</w:t>
            </w:r>
          </w:p>
        </w:tc>
        <w:tc>
          <w:tcPr>
            <w:tcW w:w="993" w:type="dxa"/>
            <w:shd w:val="clear" w:color="auto" w:fill="auto"/>
            <w:noWrap/>
            <w:hideMark/>
          </w:tcPr>
          <w:p w14:paraId="4FB3689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6%</w:t>
            </w:r>
          </w:p>
        </w:tc>
      </w:tr>
    </w:tbl>
    <w:p w14:paraId="560B8F0A" w14:textId="2F7D3635" w:rsidR="005665F1" w:rsidRPr="005665F1" w:rsidRDefault="005665F1" w:rsidP="005665F1">
      <w:pPr>
        <w:widowControl w:val="0"/>
        <w:spacing w:after="0" w:line="360" w:lineRule="exact"/>
        <w:ind w:firstLineChars="200" w:firstLine="640"/>
        <w:jc w:val="center"/>
        <w:rPr>
          <w:rFonts w:ascii="仿宋" w:eastAsia="仿宋" w:hAnsi="仿宋" w:cs="宋体"/>
          <w:color w:val="000000"/>
          <w:sz w:val="32"/>
          <w:szCs w:val="32"/>
          <w:lang w:eastAsia="zh-CN"/>
        </w:rPr>
      </w:pPr>
      <w:r w:rsidRPr="005665F1">
        <w:rPr>
          <w:rFonts w:ascii="仿宋" w:eastAsia="仿宋" w:hAnsi="仿宋" w:cs="宋体" w:hint="eastAsia"/>
          <w:color w:val="000000"/>
          <w:sz w:val="32"/>
          <w:szCs w:val="32"/>
          <w:lang w:eastAsia="zh-CN"/>
        </w:rPr>
        <w:t>表1听障</w:t>
      </w:r>
      <w:r w:rsidR="006E37AF">
        <w:rPr>
          <w:rFonts w:ascii="仿宋" w:eastAsia="仿宋" w:hAnsi="仿宋" w:cs="宋体" w:hint="eastAsia"/>
          <w:color w:val="000000"/>
          <w:sz w:val="32"/>
          <w:szCs w:val="32"/>
          <w:lang w:eastAsia="zh-CN"/>
        </w:rPr>
        <w:t>学</w:t>
      </w:r>
      <w:r w:rsidRPr="005665F1">
        <w:rPr>
          <w:rFonts w:ascii="仿宋" w:eastAsia="仿宋" w:hAnsi="仿宋" w:cs="宋体" w:hint="eastAsia"/>
          <w:color w:val="000000"/>
          <w:sz w:val="32"/>
          <w:szCs w:val="32"/>
          <w:lang w:eastAsia="zh-CN"/>
        </w:rPr>
        <w:t>生/健全</w:t>
      </w:r>
      <w:r w:rsidR="006E37AF">
        <w:rPr>
          <w:rFonts w:ascii="仿宋" w:eastAsia="仿宋" w:hAnsi="仿宋" w:cs="宋体" w:hint="eastAsia"/>
          <w:color w:val="000000"/>
          <w:sz w:val="32"/>
          <w:szCs w:val="32"/>
          <w:lang w:eastAsia="zh-CN"/>
        </w:rPr>
        <w:t>学</w:t>
      </w:r>
      <w:r w:rsidRPr="005665F1">
        <w:rPr>
          <w:rFonts w:ascii="仿宋" w:eastAsia="仿宋" w:hAnsi="仿宋" w:cs="宋体" w:hint="eastAsia"/>
          <w:color w:val="000000"/>
          <w:sz w:val="32"/>
          <w:szCs w:val="32"/>
          <w:lang w:eastAsia="zh-CN"/>
        </w:rPr>
        <w:t>生在各项异常因子的学生比例差异</w:t>
      </w:r>
    </w:p>
    <w:p w14:paraId="147B5CE2" w14:textId="77777777" w:rsidR="005665F1" w:rsidRPr="005665F1" w:rsidRDefault="005665F1" w:rsidP="005665F1">
      <w:pPr>
        <w:widowControl w:val="0"/>
        <w:spacing w:after="0" w:line="360" w:lineRule="exact"/>
        <w:ind w:firstLineChars="200" w:firstLine="420"/>
        <w:jc w:val="center"/>
        <w:rPr>
          <w:rFonts w:ascii="Times New Roman" w:hAnsi="Times New Roman"/>
          <w:kern w:val="2"/>
          <w:sz w:val="21"/>
          <w:szCs w:val="20"/>
          <w:lang w:eastAsia="zh-CN"/>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870"/>
        <w:gridCol w:w="681"/>
        <w:gridCol w:w="589"/>
        <w:gridCol w:w="594"/>
        <w:gridCol w:w="606"/>
        <w:gridCol w:w="737"/>
        <w:gridCol w:w="596"/>
        <w:gridCol w:w="602"/>
        <w:gridCol w:w="611"/>
        <w:gridCol w:w="589"/>
        <w:gridCol w:w="865"/>
        <w:gridCol w:w="961"/>
      </w:tblGrid>
      <w:tr w:rsidR="005665F1" w:rsidRPr="005665F1" w14:paraId="79CC7278" w14:textId="77777777" w:rsidTr="00E8725C">
        <w:trPr>
          <w:trHeight w:val="405"/>
        </w:trPr>
        <w:tc>
          <w:tcPr>
            <w:tcW w:w="1197" w:type="dxa"/>
            <w:shd w:val="clear" w:color="auto" w:fill="auto"/>
            <w:noWrap/>
            <w:hideMark/>
          </w:tcPr>
          <w:p w14:paraId="5BA7134E"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项目</w:t>
            </w:r>
          </w:p>
        </w:tc>
        <w:tc>
          <w:tcPr>
            <w:tcW w:w="870" w:type="dxa"/>
            <w:shd w:val="clear" w:color="auto" w:fill="auto"/>
            <w:noWrap/>
            <w:hideMark/>
          </w:tcPr>
          <w:p w14:paraId="339C82E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躯体化</w:t>
            </w:r>
          </w:p>
        </w:tc>
        <w:tc>
          <w:tcPr>
            <w:tcW w:w="681" w:type="dxa"/>
            <w:shd w:val="clear" w:color="auto" w:fill="auto"/>
            <w:noWrap/>
            <w:hideMark/>
          </w:tcPr>
          <w:p w14:paraId="1657DE5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强迫症状</w:t>
            </w:r>
          </w:p>
        </w:tc>
        <w:tc>
          <w:tcPr>
            <w:tcW w:w="589" w:type="dxa"/>
            <w:shd w:val="clear" w:color="auto" w:fill="auto"/>
            <w:noWrap/>
            <w:hideMark/>
          </w:tcPr>
          <w:p w14:paraId="43FAAA4B"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人际关系敏感</w:t>
            </w:r>
          </w:p>
        </w:tc>
        <w:tc>
          <w:tcPr>
            <w:tcW w:w="594" w:type="dxa"/>
            <w:shd w:val="clear" w:color="auto" w:fill="auto"/>
            <w:noWrap/>
            <w:hideMark/>
          </w:tcPr>
          <w:p w14:paraId="0263D98A"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抑郁</w:t>
            </w:r>
          </w:p>
        </w:tc>
        <w:tc>
          <w:tcPr>
            <w:tcW w:w="606" w:type="dxa"/>
            <w:shd w:val="clear" w:color="auto" w:fill="auto"/>
            <w:noWrap/>
            <w:hideMark/>
          </w:tcPr>
          <w:p w14:paraId="4B9D31E3"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焦虑</w:t>
            </w:r>
          </w:p>
        </w:tc>
        <w:tc>
          <w:tcPr>
            <w:tcW w:w="737" w:type="dxa"/>
            <w:shd w:val="clear" w:color="auto" w:fill="auto"/>
            <w:noWrap/>
            <w:hideMark/>
          </w:tcPr>
          <w:p w14:paraId="688FB87E"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敌对</w:t>
            </w:r>
          </w:p>
        </w:tc>
        <w:tc>
          <w:tcPr>
            <w:tcW w:w="596" w:type="dxa"/>
            <w:shd w:val="clear" w:color="auto" w:fill="auto"/>
            <w:noWrap/>
            <w:hideMark/>
          </w:tcPr>
          <w:p w14:paraId="6CA5A13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恐怖</w:t>
            </w:r>
          </w:p>
        </w:tc>
        <w:tc>
          <w:tcPr>
            <w:tcW w:w="602" w:type="dxa"/>
            <w:shd w:val="clear" w:color="auto" w:fill="auto"/>
            <w:noWrap/>
            <w:hideMark/>
          </w:tcPr>
          <w:p w14:paraId="2927E82C"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偏执</w:t>
            </w:r>
          </w:p>
        </w:tc>
        <w:tc>
          <w:tcPr>
            <w:tcW w:w="611" w:type="dxa"/>
            <w:shd w:val="clear" w:color="auto" w:fill="auto"/>
            <w:noWrap/>
            <w:hideMark/>
          </w:tcPr>
          <w:p w14:paraId="7B02A43E"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精神病性</w:t>
            </w:r>
          </w:p>
        </w:tc>
        <w:tc>
          <w:tcPr>
            <w:tcW w:w="589" w:type="dxa"/>
            <w:shd w:val="clear" w:color="auto" w:fill="auto"/>
            <w:noWrap/>
            <w:hideMark/>
          </w:tcPr>
          <w:p w14:paraId="2F63CA92"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其他</w:t>
            </w:r>
          </w:p>
        </w:tc>
        <w:tc>
          <w:tcPr>
            <w:tcW w:w="865" w:type="dxa"/>
            <w:shd w:val="clear" w:color="auto" w:fill="auto"/>
            <w:noWrap/>
            <w:hideMark/>
          </w:tcPr>
          <w:p w14:paraId="225F1A2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总分</w:t>
            </w:r>
          </w:p>
        </w:tc>
        <w:tc>
          <w:tcPr>
            <w:tcW w:w="961" w:type="dxa"/>
            <w:shd w:val="clear" w:color="auto" w:fill="auto"/>
            <w:noWrap/>
            <w:hideMark/>
          </w:tcPr>
          <w:p w14:paraId="357C3A11"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总均分</w:t>
            </w:r>
          </w:p>
        </w:tc>
      </w:tr>
      <w:tr w:rsidR="005665F1" w:rsidRPr="005665F1" w14:paraId="39916224" w14:textId="77777777" w:rsidTr="00E8725C">
        <w:trPr>
          <w:trHeight w:val="465"/>
        </w:trPr>
        <w:tc>
          <w:tcPr>
            <w:tcW w:w="1197" w:type="dxa"/>
            <w:shd w:val="clear" w:color="auto" w:fill="auto"/>
            <w:noWrap/>
            <w:hideMark/>
          </w:tcPr>
          <w:p w14:paraId="33504CB2"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听障生</w:t>
            </w:r>
          </w:p>
        </w:tc>
        <w:tc>
          <w:tcPr>
            <w:tcW w:w="870" w:type="dxa"/>
            <w:shd w:val="clear" w:color="auto" w:fill="auto"/>
            <w:noWrap/>
            <w:hideMark/>
          </w:tcPr>
          <w:p w14:paraId="2A9B201B"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1.57</w:t>
            </w:r>
          </w:p>
        </w:tc>
        <w:tc>
          <w:tcPr>
            <w:tcW w:w="681" w:type="dxa"/>
            <w:shd w:val="clear" w:color="auto" w:fill="auto"/>
            <w:noWrap/>
            <w:hideMark/>
          </w:tcPr>
          <w:p w14:paraId="1C2B84AD"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1.6</w:t>
            </w:r>
          </w:p>
        </w:tc>
        <w:tc>
          <w:tcPr>
            <w:tcW w:w="589" w:type="dxa"/>
            <w:shd w:val="clear" w:color="auto" w:fill="auto"/>
            <w:noWrap/>
            <w:hideMark/>
          </w:tcPr>
          <w:p w14:paraId="4C8DA4A8"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1.48</w:t>
            </w:r>
          </w:p>
        </w:tc>
        <w:tc>
          <w:tcPr>
            <w:tcW w:w="594" w:type="dxa"/>
            <w:shd w:val="clear" w:color="auto" w:fill="auto"/>
            <w:noWrap/>
            <w:hideMark/>
          </w:tcPr>
          <w:p w14:paraId="70F2A9A1"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1.6</w:t>
            </w:r>
          </w:p>
        </w:tc>
        <w:tc>
          <w:tcPr>
            <w:tcW w:w="606" w:type="dxa"/>
            <w:shd w:val="clear" w:color="auto" w:fill="auto"/>
            <w:noWrap/>
            <w:hideMark/>
          </w:tcPr>
          <w:p w14:paraId="28627535"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1.46</w:t>
            </w:r>
          </w:p>
        </w:tc>
        <w:tc>
          <w:tcPr>
            <w:tcW w:w="737" w:type="dxa"/>
            <w:shd w:val="clear" w:color="auto" w:fill="auto"/>
            <w:noWrap/>
            <w:hideMark/>
          </w:tcPr>
          <w:p w14:paraId="6437457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1.52</w:t>
            </w:r>
          </w:p>
        </w:tc>
        <w:tc>
          <w:tcPr>
            <w:tcW w:w="596" w:type="dxa"/>
            <w:shd w:val="clear" w:color="auto" w:fill="auto"/>
            <w:noWrap/>
            <w:hideMark/>
          </w:tcPr>
          <w:p w14:paraId="377211C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1.6</w:t>
            </w:r>
          </w:p>
        </w:tc>
        <w:tc>
          <w:tcPr>
            <w:tcW w:w="602" w:type="dxa"/>
            <w:shd w:val="clear" w:color="auto" w:fill="auto"/>
            <w:noWrap/>
            <w:hideMark/>
          </w:tcPr>
          <w:p w14:paraId="2E209D57"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1.38</w:t>
            </w:r>
          </w:p>
        </w:tc>
        <w:tc>
          <w:tcPr>
            <w:tcW w:w="611" w:type="dxa"/>
            <w:shd w:val="clear" w:color="auto" w:fill="auto"/>
            <w:noWrap/>
            <w:hideMark/>
          </w:tcPr>
          <w:p w14:paraId="3440E63A"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w:t>
            </w:r>
          </w:p>
        </w:tc>
        <w:tc>
          <w:tcPr>
            <w:tcW w:w="589" w:type="dxa"/>
            <w:shd w:val="clear" w:color="auto" w:fill="auto"/>
            <w:noWrap/>
            <w:hideMark/>
          </w:tcPr>
          <w:p w14:paraId="38CD0DD2"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1.6</w:t>
            </w:r>
            <w:r w:rsidRPr="005665F1">
              <w:rPr>
                <w:kern w:val="2"/>
                <w:sz w:val="21"/>
                <w:szCs w:val="20"/>
                <w:lang w:eastAsia="zh-CN"/>
              </w:rPr>
              <w:t>2</w:t>
            </w:r>
          </w:p>
        </w:tc>
        <w:tc>
          <w:tcPr>
            <w:tcW w:w="865" w:type="dxa"/>
            <w:shd w:val="clear" w:color="auto" w:fill="auto"/>
            <w:noWrap/>
            <w:hideMark/>
          </w:tcPr>
          <w:p w14:paraId="2D980775"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142.79</w:t>
            </w:r>
          </w:p>
        </w:tc>
        <w:tc>
          <w:tcPr>
            <w:tcW w:w="961" w:type="dxa"/>
            <w:shd w:val="clear" w:color="auto" w:fill="auto"/>
            <w:noWrap/>
            <w:hideMark/>
          </w:tcPr>
          <w:p w14:paraId="3C62E8F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1.59</w:t>
            </w:r>
          </w:p>
        </w:tc>
      </w:tr>
      <w:tr w:rsidR="005665F1" w:rsidRPr="005665F1" w14:paraId="4ED50A2C" w14:textId="77777777" w:rsidTr="00E8725C">
        <w:trPr>
          <w:trHeight w:val="525"/>
        </w:trPr>
        <w:tc>
          <w:tcPr>
            <w:tcW w:w="1197" w:type="dxa"/>
            <w:shd w:val="clear" w:color="auto" w:fill="auto"/>
            <w:noWrap/>
            <w:hideMark/>
          </w:tcPr>
          <w:p w14:paraId="196EE150"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健全生</w:t>
            </w:r>
          </w:p>
        </w:tc>
        <w:tc>
          <w:tcPr>
            <w:tcW w:w="870" w:type="dxa"/>
            <w:shd w:val="clear" w:color="auto" w:fill="auto"/>
            <w:noWrap/>
            <w:hideMark/>
          </w:tcPr>
          <w:p w14:paraId="4DC6728F"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w:t>
            </w:r>
            <w:r w:rsidRPr="005665F1">
              <w:rPr>
                <w:kern w:val="2"/>
                <w:sz w:val="21"/>
                <w:szCs w:val="20"/>
                <w:lang w:eastAsia="zh-CN"/>
              </w:rPr>
              <w:t>3</w:t>
            </w:r>
            <w:r w:rsidRPr="005665F1">
              <w:rPr>
                <w:rFonts w:hint="eastAsia"/>
                <w:kern w:val="2"/>
                <w:sz w:val="21"/>
                <w:szCs w:val="20"/>
                <w:lang w:eastAsia="zh-CN"/>
              </w:rPr>
              <w:t>2</w:t>
            </w:r>
          </w:p>
        </w:tc>
        <w:tc>
          <w:tcPr>
            <w:tcW w:w="681" w:type="dxa"/>
            <w:shd w:val="clear" w:color="auto" w:fill="auto"/>
            <w:noWrap/>
            <w:hideMark/>
          </w:tcPr>
          <w:p w14:paraId="5125B024"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1.55</w:t>
            </w:r>
          </w:p>
        </w:tc>
        <w:tc>
          <w:tcPr>
            <w:tcW w:w="589" w:type="dxa"/>
            <w:shd w:val="clear" w:color="auto" w:fill="auto"/>
            <w:noWrap/>
            <w:hideMark/>
          </w:tcPr>
          <w:p w14:paraId="2DE326E7"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w:t>
            </w:r>
            <w:r w:rsidRPr="005665F1">
              <w:rPr>
                <w:kern w:val="2"/>
                <w:sz w:val="21"/>
                <w:szCs w:val="20"/>
                <w:lang w:eastAsia="zh-CN"/>
              </w:rPr>
              <w:t>4</w:t>
            </w:r>
          </w:p>
        </w:tc>
        <w:tc>
          <w:tcPr>
            <w:tcW w:w="594" w:type="dxa"/>
            <w:shd w:val="clear" w:color="auto" w:fill="auto"/>
            <w:noWrap/>
            <w:hideMark/>
          </w:tcPr>
          <w:p w14:paraId="7E582CE1"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1.28</w:t>
            </w:r>
          </w:p>
        </w:tc>
        <w:tc>
          <w:tcPr>
            <w:tcW w:w="606" w:type="dxa"/>
            <w:shd w:val="clear" w:color="auto" w:fill="auto"/>
            <w:noWrap/>
            <w:hideMark/>
          </w:tcPr>
          <w:p w14:paraId="17BEA01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1.26</w:t>
            </w:r>
          </w:p>
        </w:tc>
        <w:tc>
          <w:tcPr>
            <w:tcW w:w="737" w:type="dxa"/>
            <w:shd w:val="clear" w:color="auto" w:fill="auto"/>
            <w:noWrap/>
            <w:hideMark/>
          </w:tcPr>
          <w:p w14:paraId="071038A6"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1.32</w:t>
            </w:r>
          </w:p>
        </w:tc>
        <w:tc>
          <w:tcPr>
            <w:tcW w:w="596" w:type="dxa"/>
            <w:shd w:val="clear" w:color="auto" w:fill="auto"/>
            <w:noWrap/>
            <w:hideMark/>
          </w:tcPr>
          <w:p w14:paraId="1459E4D1"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w:t>
            </w:r>
          </w:p>
        </w:tc>
        <w:tc>
          <w:tcPr>
            <w:tcW w:w="602" w:type="dxa"/>
            <w:shd w:val="clear" w:color="auto" w:fill="auto"/>
            <w:noWrap/>
            <w:hideMark/>
          </w:tcPr>
          <w:p w14:paraId="57ABD55B"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1.17</w:t>
            </w:r>
          </w:p>
        </w:tc>
        <w:tc>
          <w:tcPr>
            <w:tcW w:w="611" w:type="dxa"/>
            <w:shd w:val="clear" w:color="auto" w:fill="auto"/>
            <w:noWrap/>
            <w:hideMark/>
          </w:tcPr>
          <w:p w14:paraId="7624DD12"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1.22</w:t>
            </w:r>
          </w:p>
        </w:tc>
        <w:tc>
          <w:tcPr>
            <w:tcW w:w="589" w:type="dxa"/>
            <w:shd w:val="clear" w:color="auto" w:fill="auto"/>
            <w:noWrap/>
            <w:hideMark/>
          </w:tcPr>
          <w:p w14:paraId="7F41F3A5"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1.36</w:t>
            </w:r>
          </w:p>
        </w:tc>
        <w:tc>
          <w:tcPr>
            <w:tcW w:w="865" w:type="dxa"/>
            <w:shd w:val="clear" w:color="auto" w:fill="auto"/>
            <w:noWrap/>
            <w:hideMark/>
          </w:tcPr>
          <w:p w14:paraId="202D07BD"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119.15</w:t>
            </w:r>
          </w:p>
        </w:tc>
        <w:tc>
          <w:tcPr>
            <w:tcW w:w="961" w:type="dxa"/>
            <w:shd w:val="clear" w:color="auto" w:fill="auto"/>
            <w:noWrap/>
            <w:hideMark/>
          </w:tcPr>
          <w:p w14:paraId="7A8EAECE" w14:textId="77777777" w:rsidR="005665F1" w:rsidRPr="005665F1" w:rsidRDefault="005665F1" w:rsidP="005665F1">
            <w:pPr>
              <w:widowControl w:val="0"/>
              <w:spacing w:after="0" w:line="360" w:lineRule="exact"/>
              <w:jc w:val="both"/>
              <w:rPr>
                <w:kern w:val="2"/>
                <w:sz w:val="21"/>
                <w:szCs w:val="20"/>
                <w:lang w:eastAsia="zh-CN"/>
              </w:rPr>
            </w:pPr>
            <w:r w:rsidRPr="005665F1">
              <w:rPr>
                <w:rFonts w:hint="eastAsia"/>
                <w:kern w:val="2"/>
                <w:sz w:val="21"/>
                <w:szCs w:val="20"/>
                <w:lang w:eastAsia="zh-CN"/>
              </w:rPr>
              <w:t>1.32</w:t>
            </w:r>
          </w:p>
        </w:tc>
      </w:tr>
    </w:tbl>
    <w:p w14:paraId="5DF42535" w14:textId="0C29ECAE" w:rsidR="005665F1" w:rsidRPr="005665F1" w:rsidRDefault="005665F1" w:rsidP="005665F1">
      <w:pPr>
        <w:widowControl w:val="0"/>
        <w:spacing w:after="0" w:line="360" w:lineRule="exact"/>
        <w:ind w:firstLineChars="200" w:firstLine="640"/>
        <w:jc w:val="center"/>
        <w:rPr>
          <w:rFonts w:ascii="仿宋" w:eastAsia="仿宋" w:hAnsi="仿宋" w:cs="宋体"/>
          <w:color w:val="000000"/>
          <w:sz w:val="32"/>
          <w:szCs w:val="32"/>
          <w:lang w:eastAsia="zh-CN"/>
        </w:rPr>
      </w:pPr>
      <w:r w:rsidRPr="005665F1">
        <w:rPr>
          <w:rFonts w:ascii="仿宋" w:eastAsia="仿宋" w:hAnsi="仿宋" w:cs="宋体" w:hint="eastAsia"/>
          <w:color w:val="000000"/>
          <w:sz w:val="32"/>
          <w:szCs w:val="32"/>
          <w:lang w:eastAsia="zh-CN"/>
        </w:rPr>
        <w:t>表</w:t>
      </w:r>
      <w:r w:rsidRPr="005665F1">
        <w:rPr>
          <w:rFonts w:ascii="仿宋" w:eastAsia="仿宋" w:hAnsi="仿宋" w:cs="宋体"/>
          <w:color w:val="000000"/>
          <w:sz w:val="32"/>
          <w:szCs w:val="32"/>
          <w:lang w:eastAsia="zh-CN"/>
        </w:rPr>
        <w:t>2</w:t>
      </w:r>
      <w:r w:rsidRPr="005665F1">
        <w:rPr>
          <w:rFonts w:ascii="仿宋" w:eastAsia="仿宋" w:hAnsi="仿宋" w:cs="宋体" w:hint="eastAsia"/>
          <w:color w:val="000000"/>
          <w:sz w:val="32"/>
          <w:szCs w:val="32"/>
          <w:lang w:eastAsia="zh-CN"/>
        </w:rPr>
        <w:t>听障</w:t>
      </w:r>
      <w:r w:rsidR="006E37AF">
        <w:rPr>
          <w:rFonts w:ascii="仿宋" w:eastAsia="仿宋" w:hAnsi="仿宋" w:cs="宋体" w:hint="eastAsia"/>
          <w:color w:val="000000"/>
          <w:sz w:val="32"/>
          <w:szCs w:val="32"/>
          <w:lang w:eastAsia="zh-CN"/>
        </w:rPr>
        <w:t>学</w:t>
      </w:r>
      <w:r w:rsidRPr="005665F1">
        <w:rPr>
          <w:rFonts w:ascii="仿宋" w:eastAsia="仿宋" w:hAnsi="仿宋" w:cs="宋体" w:hint="eastAsia"/>
          <w:color w:val="000000"/>
          <w:sz w:val="32"/>
          <w:szCs w:val="32"/>
          <w:lang w:eastAsia="zh-CN"/>
        </w:rPr>
        <w:t>生/健全</w:t>
      </w:r>
      <w:r w:rsidR="006E37AF">
        <w:rPr>
          <w:rFonts w:ascii="仿宋" w:eastAsia="仿宋" w:hAnsi="仿宋" w:cs="宋体" w:hint="eastAsia"/>
          <w:color w:val="000000"/>
          <w:sz w:val="32"/>
          <w:szCs w:val="32"/>
          <w:lang w:eastAsia="zh-CN"/>
        </w:rPr>
        <w:t>学</w:t>
      </w:r>
      <w:r w:rsidRPr="005665F1">
        <w:rPr>
          <w:rFonts w:ascii="仿宋" w:eastAsia="仿宋" w:hAnsi="仿宋" w:cs="宋体" w:hint="eastAsia"/>
          <w:color w:val="000000"/>
          <w:sz w:val="32"/>
          <w:szCs w:val="32"/>
          <w:lang w:eastAsia="zh-CN"/>
        </w:rPr>
        <w:t>生在各项异常因子的平均分</w:t>
      </w:r>
      <w:r w:rsidRPr="005665F1">
        <w:rPr>
          <w:rFonts w:ascii="仿宋" w:eastAsia="仿宋" w:hAnsi="仿宋" w:cs="宋体"/>
          <w:color w:val="000000"/>
          <w:sz w:val="32"/>
          <w:szCs w:val="32"/>
          <w:lang w:eastAsia="zh-CN"/>
        </w:rPr>
        <w:t>对比</w:t>
      </w:r>
    </w:p>
    <w:p w14:paraId="7A443951" w14:textId="77777777" w:rsidR="005665F1" w:rsidRPr="005665F1" w:rsidRDefault="005665F1" w:rsidP="005665F1">
      <w:pPr>
        <w:widowControl w:val="0"/>
        <w:spacing w:after="0" w:line="360" w:lineRule="exact"/>
        <w:ind w:firstLineChars="200" w:firstLine="640"/>
        <w:jc w:val="center"/>
        <w:rPr>
          <w:rFonts w:ascii="仿宋" w:eastAsia="仿宋" w:hAnsi="仿宋" w:cs="宋体"/>
          <w:color w:val="000000"/>
          <w:sz w:val="32"/>
          <w:szCs w:val="32"/>
          <w:lang w:eastAsia="zh-CN"/>
        </w:rPr>
      </w:pPr>
    </w:p>
    <w:p w14:paraId="42E74D01" w14:textId="4903F5A1" w:rsidR="00985B17" w:rsidRPr="00834B5E" w:rsidRDefault="006E37AF" w:rsidP="006E37AF">
      <w:pPr>
        <w:spacing w:after="0" w:line="240" w:lineRule="auto"/>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4.</w:t>
      </w:r>
      <w:r w:rsidRPr="006E37AF">
        <w:rPr>
          <w:rFonts w:ascii="仿宋" w:eastAsia="仿宋" w:hAnsi="仿宋" w:cs="宋体" w:hint="eastAsia"/>
          <w:color w:val="000000"/>
          <w:sz w:val="32"/>
          <w:szCs w:val="32"/>
          <w:lang w:eastAsia="zh-CN"/>
        </w:rPr>
        <w:t>政策建议</w:t>
      </w:r>
      <w:bookmarkStart w:id="2" w:name="_Hlk51830153"/>
    </w:p>
    <w:bookmarkEnd w:id="2"/>
    <w:p w14:paraId="3E81EA84" w14:textId="00B44C64" w:rsidR="00985B17"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（1）</w:t>
      </w:r>
      <w:r w:rsidR="00635B3D" w:rsidRPr="00834B5E">
        <w:rPr>
          <w:rFonts w:ascii="仿宋" w:eastAsia="仿宋" w:hAnsi="仿宋" w:cs="宋体" w:hint="eastAsia"/>
          <w:color w:val="000000"/>
          <w:sz w:val="32"/>
          <w:szCs w:val="32"/>
          <w:lang w:eastAsia="zh-CN"/>
        </w:rPr>
        <w:t>心理支持服务模式概述</w:t>
      </w:r>
    </w:p>
    <w:p w14:paraId="190EAAEA" w14:textId="78073D3D"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目前常用的有三种心理危机干预（心理支持服务）模式，即平衡模式、认知模式和心理转变模式，这三种模式</w:t>
      </w:r>
      <w:r w:rsidR="00C33AB5">
        <w:rPr>
          <w:rFonts w:ascii="仿宋" w:eastAsia="仿宋" w:hAnsi="仿宋" w:cs="宋体" w:hint="eastAsia"/>
          <w:color w:val="000000"/>
          <w:sz w:val="32"/>
          <w:szCs w:val="32"/>
          <w:lang w:eastAsia="zh-CN"/>
        </w:rPr>
        <w:t>从</w:t>
      </w:r>
      <w:r w:rsidR="00C33AB5">
        <w:rPr>
          <w:rFonts w:ascii="仿宋" w:eastAsia="仿宋" w:hAnsi="仿宋" w:cs="宋体"/>
          <w:color w:val="000000"/>
          <w:sz w:val="32"/>
          <w:szCs w:val="32"/>
          <w:lang w:eastAsia="zh-CN"/>
        </w:rPr>
        <w:t>个体认知、</w:t>
      </w:r>
      <w:r w:rsidR="00C33AB5" w:rsidRPr="00C33AB5">
        <w:rPr>
          <w:rFonts w:ascii="仿宋" w:eastAsia="仿宋" w:hAnsi="仿宋" w:cs="宋体" w:hint="eastAsia"/>
          <w:color w:val="000000"/>
          <w:sz w:val="32"/>
          <w:szCs w:val="32"/>
          <w:lang w:eastAsia="zh-CN"/>
        </w:rPr>
        <w:t>社会环境</w:t>
      </w:r>
      <w:r w:rsidR="00C33AB5">
        <w:rPr>
          <w:rFonts w:ascii="仿宋" w:eastAsia="仿宋" w:hAnsi="仿宋" w:cs="宋体" w:hint="eastAsia"/>
          <w:color w:val="000000"/>
          <w:sz w:val="32"/>
          <w:szCs w:val="32"/>
          <w:lang w:eastAsia="zh-CN"/>
        </w:rPr>
        <w:t>等</w:t>
      </w:r>
      <w:r w:rsidR="00C33AB5">
        <w:rPr>
          <w:rFonts w:ascii="仿宋" w:eastAsia="仿宋" w:hAnsi="仿宋" w:cs="宋体"/>
          <w:color w:val="000000"/>
          <w:sz w:val="32"/>
          <w:szCs w:val="32"/>
          <w:lang w:eastAsia="zh-CN"/>
        </w:rPr>
        <w:t>多</w:t>
      </w:r>
      <w:r w:rsidR="00C33AB5">
        <w:rPr>
          <w:rFonts w:ascii="仿宋" w:eastAsia="仿宋" w:hAnsi="仿宋" w:cs="宋体" w:hint="eastAsia"/>
          <w:color w:val="000000"/>
          <w:sz w:val="32"/>
          <w:szCs w:val="32"/>
          <w:lang w:eastAsia="zh-CN"/>
        </w:rPr>
        <w:t>种角度</w:t>
      </w:r>
      <w:r w:rsidRPr="00834B5E">
        <w:rPr>
          <w:rFonts w:ascii="仿宋" w:eastAsia="仿宋" w:hAnsi="仿宋" w:cs="宋体" w:hint="eastAsia"/>
          <w:color w:val="000000"/>
          <w:sz w:val="32"/>
          <w:szCs w:val="32"/>
          <w:lang w:eastAsia="zh-CN"/>
        </w:rPr>
        <w:t>为许多不同的危机干预策略和方法提供了基础。</w:t>
      </w:r>
    </w:p>
    <w:p w14:paraId="55BEA07B" w14:textId="0DE173CC" w:rsidR="00985B17" w:rsidRPr="00834B5E" w:rsidRDefault="006E37A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w:t>
      </w:r>
      <w:r w:rsidR="00635B3D" w:rsidRPr="00834B5E">
        <w:rPr>
          <w:rFonts w:ascii="仿宋" w:eastAsia="仿宋" w:hAnsi="仿宋" w:cs="宋体" w:hint="eastAsia"/>
          <w:color w:val="000000"/>
          <w:sz w:val="32"/>
          <w:szCs w:val="32"/>
          <w:lang w:eastAsia="zh-CN"/>
        </w:rPr>
        <w:t>新冠肺炎疫情环境下的学生心理支持服务</w:t>
      </w:r>
    </w:p>
    <w:p w14:paraId="0EE446C8" w14:textId="77777777" w:rsidR="00FB6C3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在面对此次新冠肺炎疫情时，人们普遍会产生各种各样的身心反应，属于正常的应激反应范畴。听障学上属于</w:t>
      </w:r>
      <w:r w:rsidRPr="00834B5E">
        <w:rPr>
          <w:rFonts w:ascii="仿宋" w:eastAsia="仿宋" w:hAnsi="仿宋" w:cs="宋体" w:hint="eastAsia"/>
          <w:color w:val="000000"/>
          <w:sz w:val="32"/>
          <w:szCs w:val="32"/>
          <w:lang w:eastAsia="zh-CN"/>
        </w:rPr>
        <w:lastRenderedPageBreak/>
        <w:t>特殊群体，受听力障碍制约，其认知理解能力与常人有所差异。为了使听障学生群体能够其积极的正视此次新冠肺炎疫情，尽快恢复心理平衡状态，避免出现心理危机过强，持续时间过长，出现非常时期的非理性行为</w:t>
      </w:r>
      <w:r w:rsidR="00FB6C37" w:rsidRPr="00834B5E">
        <w:rPr>
          <w:rFonts w:ascii="仿宋" w:eastAsia="仿宋" w:hAnsi="仿宋" w:cs="宋体" w:hint="eastAsia"/>
          <w:color w:val="000000"/>
          <w:sz w:val="32"/>
          <w:szCs w:val="32"/>
          <w:lang w:eastAsia="zh-CN"/>
        </w:rPr>
        <w:t>。</w:t>
      </w:r>
    </w:p>
    <w:p w14:paraId="3BD11777" w14:textId="42489A00" w:rsidR="006F32F8" w:rsidRPr="00834B5E" w:rsidRDefault="00FB6C37">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本课题组的多位成员来自听障学生教育和管理一线，从他们长期与听障学生接触的经验来看，听障学生对事物的认知、理解能力较健全人偏弱，人际交往圈子比较小，大多数学生平时仅与听障学生交往。鉴于听障学生的这些特点，本课题组制定以帮助学生建立对新冠肺炎疫情的正确认知为主，</w:t>
      </w:r>
      <w:r w:rsidR="006F32F8" w:rsidRPr="00834B5E">
        <w:rPr>
          <w:rFonts w:ascii="仿宋" w:eastAsia="仿宋" w:hAnsi="仿宋" w:cs="宋体" w:hint="eastAsia"/>
          <w:color w:val="000000"/>
          <w:sz w:val="32"/>
          <w:szCs w:val="32"/>
          <w:lang w:eastAsia="zh-CN"/>
        </w:rPr>
        <w:t>同时</w:t>
      </w:r>
      <w:r w:rsidRPr="00834B5E">
        <w:rPr>
          <w:rFonts w:ascii="仿宋" w:eastAsia="仿宋" w:hAnsi="仿宋" w:cs="宋体" w:hint="eastAsia"/>
          <w:color w:val="000000"/>
          <w:sz w:val="32"/>
          <w:szCs w:val="32"/>
          <w:lang w:eastAsia="zh-CN"/>
        </w:rPr>
        <w:t>运用积极心理学、社会学习</w:t>
      </w:r>
      <w:r w:rsidR="006F32F8" w:rsidRPr="00834B5E">
        <w:rPr>
          <w:rFonts w:ascii="仿宋" w:eastAsia="仿宋" w:hAnsi="仿宋" w:cs="宋体" w:hint="eastAsia"/>
          <w:color w:val="000000"/>
          <w:sz w:val="32"/>
          <w:szCs w:val="32"/>
          <w:lang w:eastAsia="zh-CN"/>
        </w:rPr>
        <w:t>等理论，结合汶川地震、非典等重大灾难时期已有的心理危机干预经验，</w:t>
      </w:r>
      <w:r w:rsidRPr="00834B5E">
        <w:rPr>
          <w:rFonts w:ascii="仿宋" w:eastAsia="仿宋" w:hAnsi="仿宋" w:cs="宋体" w:hint="eastAsia"/>
          <w:color w:val="000000"/>
          <w:sz w:val="32"/>
          <w:szCs w:val="32"/>
          <w:lang w:eastAsia="zh-CN"/>
        </w:rPr>
        <w:t>帮助减轻因疫情导致</w:t>
      </w:r>
      <w:r w:rsidR="006F32F8" w:rsidRPr="00834B5E">
        <w:rPr>
          <w:rFonts w:ascii="仿宋" w:eastAsia="仿宋" w:hAnsi="仿宋" w:cs="宋体" w:hint="eastAsia"/>
          <w:color w:val="000000"/>
          <w:sz w:val="32"/>
          <w:szCs w:val="32"/>
          <w:lang w:eastAsia="zh-CN"/>
        </w:rPr>
        <w:t>，恢复心理平衡</w:t>
      </w:r>
      <w:r w:rsidRPr="00834B5E">
        <w:rPr>
          <w:rFonts w:ascii="仿宋" w:eastAsia="仿宋" w:hAnsi="仿宋" w:cs="宋体" w:hint="eastAsia"/>
          <w:color w:val="000000"/>
          <w:sz w:val="32"/>
          <w:szCs w:val="32"/>
          <w:lang w:eastAsia="zh-CN"/>
        </w:rPr>
        <w:t>。</w:t>
      </w:r>
    </w:p>
    <w:p w14:paraId="0D1F800E" w14:textId="5F7DF2EA" w:rsidR="00985B17" w:rsidRPr="00834B5E" w:rsidRDefault="00635B3D" w:rsidP="006F32F8">
      <w:pPr>
        <w:spacing w:after="0" w:line="240" w:lineRule="auto"/>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具体心理支持服务策略如下：</w:t>
      </w:r>
    </w:p>
    <w:p w14:paraId="0C805136" w14:textId="0E060582"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w:t>
      </w:r>
      <w:r w:rsidR="006E37AF">
        <w:rPr>
          <w:rFonts w:ascii="仿宋" w:eastAsia="仿宋" w:hAnsi="仿宋" w:cs="宋体"/>
          <w:color w:val="000000"/>
          <w:sz w:val="32"/>
          <w:szCs w:val="32"/>
          <w:lang w:eastAsia="zh-CN"/>
        </w:rPr>
        <w:t>3</w:t>
      </w:r>
      <w:r w:rsidRPr="00834B5E">
        <w:rPr>
          <w:rFonts w:ascii="仿宋" w:eastAsia="仿宋" w:hAnsi="仿宋" w:cs="宋体" w:hint="eastAsia"/>
          <w:color w:val="000000"/>
          <w:sz w:val="32"/>
          <w:szCs w:val="32"/>
          <w:lang w:eastAsia="zh-CN"/>
        </w:rPr>
        <w:t>）</w:t>
      </w:r>
      <w:r w:rsidR="00E32C49" w:rsidRPr="00834B5E">
        <w:rPr>
          <w:rFonts w:ascii="仿宋" w:eastAsia="仿宋" w:hAnsi="仿宋" w:cs="宋体" w:hint="eastAsia"/>
          <w:color w:val="000000"/>
          <w:sz w:val="32"/>
          <w:szCs w:val="32"/>
          <w:lang w:eastAsia="zh-CN"/>
        </w:rPr>
        <w:t>正确认知—</w:t>
      </w:r>
      <w:r w:rsidRPr="00834B5E">
        <w:rPr>
          <w:rFonts w:ascii="仿宋" w:eastAsia="仿宋" w:hAnsi="仿宋" w:cs="宋体" w:hint="eastAsia"/>
          <w:color w:val="000000"/>
          <w:sz w:val="32"/>
          <w:szCs w:val="32"/>
          <w:lang w:eastAsia="zh-CN"/>
        </w:rPr>
        <w:t>面向学生及家长的科普宣传</w:t>
      </w:r>
    </w:p>
    <w:p w14:paraId="014F93C3"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此次新冠肺炎疫情的发病范围已经涉及全国乃至世界，其传播途径比较多，传播速度快，并且它的传播有一定的隐蔽性，无症状感染者也具有传染性，加之目前对新冠病毒肺炎的认知存在许多的未知和不确定性，这无疑会使学生产生恐慌心理。如何让学生理解和接纳危机状态下的焦虑、紧张和恐惧情绪，保持情绪稳定而不慌张、更不慌乱的心理行为状态，很显然，加强科普宣传，及时通过多种渠道、多种形式向学生告知疫情防护知识、心理减压</w:t>
      </w:r>
      <w:r w:rsidRPr="0088190F">
        <w:rPr>
          <w:rFonts w:ascii="仿宋" w:eastAsia="仿宋" w:hAnsi="仿宋" w:cs="宋体" w:hint="eastAsia"/>
          <w:color w:val="000000"/>
          <w:sz w:val="32"/>
          <w:szCs w:val="32"/>
          <w:lang w:eastAsia="zh-CN"/>
        </w:rPr>
        <w:lastRenderedPageBreak/>
        <w:t>和心理自助的技巧和方法就显得尤为重要。作为学校来说，除了进行必要的防疫科普知识宣传，我们学院还结合思想政治教育，就疫情防控过程中涌现出的先进典型人物事迹、我国的制度优势进行了广泛的宣传，增加学生战胜疫情的信心，减少恐慌。在疫情防控初期，学院就已经开始了相关宣传工作，大致分三个时间段开展工作：</w:t>
      </w:r>
    </w:p>
    <w:p w14:paraId="64E4569C"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疫情发生-2月初。工作重点是面向广大学生及家长宣传科学防控疫情知识，做好有关政策和学校防控工作解读宣传，营造家校合作、众志成城、群防群治的氛围；做好网络舆情监控，教育引导学生科学理性面对疫情，不在各类媒体上发布、传播关于疫情的不实信息，做到不造谣、不信谣、不传谣。1月22日、24日、2月9日先后向学生及家长发布《学生群体新型冠状病毒感染的肺炎防控手册》、《致学院全体师生的一封信：打好防疫阻击战共度平安健康年》、《教育部致全国大学生的一封信》等防疫宣传材料，2月3日起，组织全校师生居家期间按时收看疫情防控特别节目，切实增强学生自我防护能力。</w:t>
      </w:r>
    </w:p>
    <w:p w14:paraId="26DB9669"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2月-3月初。工作重点是教育引导学生做好居隔离和自我防护。2月份社团之家微信公众号先后推送《隔离病毒不隔离爱》、《抗击新冠肺炎疫情——特教学子在行动》等文章，发布科学防疫知识，讲述特教学子的战“疫”故事，发布战“疫”宣传语和宣传视频，特别针对听障学</w:t>
      </w:r>
      <w:r w:rsidRPr="0088190F">
        <w:rPr>
          <w:rFonts w:ascii="仿宋" w:eastAsia="仿宋" w:hAnsi="仿宋" w:cs="宋体" w:hint="eastAsia"/>
          <w:color w:val="000000"/>
          <w:sz w:val="32"/>
          <w:szCs w:val="32"/>
          <w:lang w:eastAsia="zh-CN"/>
        </w:rPr>
        <w:lastRenderedPageBreak/>
        <w:t>生，学校专门组织手语社团、优秀听障学生代表录制了手语“战”疫宣传视频，用学生最能够理解的方式，表达战胜疫情的信心。</w:t>
      </w:r>
    </w:p>
    <w:p w14:paraId="51260320"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3月初-5月。工作重点是防范学生思想松懈，做好学生居家期间的教育引导。充分发挥微信公众号的舆论引导作用，自3月底开始每周发布一次关于疫情防控工作的部署、举措、成效、先进典型人物和事迹，新型冠状病毒肺炎疫情防控知识等内容，及时澄清有关疫情的不实言论，积极引导正确舆论，不断增强学生科学防疫意识和战胜疫情的信心。3月2日发布《科学防护静待美好》文章，寄语全体学生，面对疫情，做好科学防护，不可放松警惕。</w:t>
      </w:r>
    </w:p>
    <w:p w14:paraId="3A52B951" w14:textId="6D3CA0DE"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w:t>
      </w:r>
      <w:r w:rsidR="006E37AF">
        <w:rPr>
          <w:rFonts w:ascii="仿宋" w:eastAsia="仿宋" w:hAnsi="仿宋" w:cs="宋体"/>
          <w:color w:val="000000"/>
          <w:sz w:val="32"/>
          <w:szCs w:val="32"/>
          <w:lang w:eastAsia="zh-CN"/>
        </w:rPr>
        <w:t>4</w:t>
      </w:r>
      <w:r w:rsidRPr="0088190F">
        <w:rPr>
          <w:rFonts w:ascii="仿宋" w:eastAsia="仿宋" w:hAnsi="仿宋" w:cs="宋体" w:hint="eastAsia"/>
          <w:color w:val="000000"/>
          <w:sz w:val="32"/>
          <w:szCs w:val="32"/>
          <w:lang w:eastAsia="zh-CN"/>
        </w:rPr>
        <w:t>）团体辅导—开展主题教育班会</w:t>
      </w:r>
    </w:p>
    <w:p w14:paraId="129C3856"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由于听障学生的人际交往呈现出较强的团体性、封闭性的特点，因此，面对此次新冠肺炎疫情给学生群体带来的恐慌、焦虑等常见心理问题，我们也尝试运用积极心理学的理论以及团体心理咨询方法对学生开展心理支持。主要是以主题教育班会的形式开展。具体做法如下：</w:t>
      </w:r>
    </w:p>
    <w:p w14:paraId="0E2A01E7"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首先由班主任介绍新冠肺炎疫情防控进展、新冠病毒知识，帮助学生正确认识新冠肺炎疫情。使他们接受当前的客观现实，知道自己恐慌焦虑等情绪属于正常的心理反应。</w:t>
      </w:r>
    </w:p>
    <w:p w14:paraId="7C97B968" w14:textId="77777777" w:rsidR="0088190F" w:rsidRP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lastRenderedPageBreak/>
        <w:t xml:space="preserve">然后通过学生在疫情期间的所见所闻、亲身感受，宣传抗击疫情典型人物事迹和我国的抗疫成就。引导学生发现此次疫情中蕴含的积极品质。比如设立全国哀悼日寄托对遇难者的哀思，体现国家对人的生命的尊重；全国各地医护人员驰援湖北，体现了疫情下的担当与责任等等。通过主题班会让我们的学生感受到祖国的强大，引发对人生追求的重新思考。 </w:t>
      </w:r>
    </w:p>
    <w:p w14:paraId="0D76D92E" w14:textId="77777777" w:rsidR="0088190F" w:rsidRDefault="0088190F" w:rsidP="0088190F">
      <w:pPr>
        <w:spacing w:after="0" w:line="240" w:lineRule="auto"/>
        <w:ind w:firstLineChars="200" w:firstLine="640"/>
        <w:textAlignment w:val="baseline"/>
        <w:rPr>
          <w:rFonts w:ascii="仿宋" w:eastAsia="仿宋" w:hAnsi="仿宋" w:cs="宋体"/>
          <w:color w:val="000000"/>
          <w:sz w:val="32"/>
          <w:szCs w:val="32"/>
          <w:lang w:eastAsia="zh-CN"/>
        </w:rPr>
      </w:pPr>
      <w:r w:rsidRPr="0088190F">
        <w:rPr>
          <w:rFonts w:ascii="仿宋" w:eastAsia="仿宋" w:hAnsi="仿宋" w:cs="宋体" w:hint="eastAsia"/>
          <w:color w:val="000000"/>
          <w:sz w:val="32"/>
          <w:szCs w:val="32"/>
          <w:lang w:eastAsia="zh-CN"/>
        </w:rPr>
        <w:t>最后发掘学生自身的积极心理因素，培养积极的心理品质。列举一些在疫情期间的真实故事，挖掘故事背后体现出的勇气、乐观、希望等积极心理品质。让学生看到生活中还有很多美好的事物，引导学生在面对新冠肺炎疫情带来的威胁时，不恐惧、不屈服、不逃避，而是用积极乐观的态度的想办法去克服，班会结束后，组织听障学生以书写“战”疫日记、结合所学专业制作手工作品、拍摄手语视频等形式说明自己从主题班会中学到的积极品质，在班级群内进行分享讨论，使学生在团体中观察、学习他人的积极表现，从而获得成长。</w:t>
      </w:r>
    </w:p>
    <w:p w14:paraId="5698B9FC" w14:textId="2471E5F8" w:rsidR="00985B17" w:rsidRPr="00834B5E" w:rsidRDefault="00985B17" w:rsidP="00284924">
      <w:pPr>
        <w:spacing w:after="0" w:line="240" w:lineRule="auto"/>
        <w:ind w:firstLineChars="200" w:firstLine="640"/>
        <w:textAlignment w:val="baseline"/>
        <w:rPr>
          <w:rFonts w:ascii="仿宋" w:eastAsia="仿宋" w:hAnsi="仿宋" w:cs="宋体"/>
          <w:color w:val="000000"/>
          <w:sz w:val="32"/>
          <w:szCs w:val="32"/>
          <w:lang w:eastAsia="zh-CN"/>
        </w:rPr>
      </w:pPr>
    </w:p>
    <w:sectPr w:rsidR="00985B17" w:rsidRPr="00834B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A32C" w14:textId="77777777" w:rsidR="004C3A8D" w:rsidRDefault="004C3A8D" w:rsidP="00C00C4E">
      <w:pPr>
        <w:spacing w:after="0" w:line="240" w:lineRule="auto"/>
      </w:pPr>
      <w:r>
        <w:separator/>
      </w:r>
    </w:p>
  </w:endnote>
  <w:endnote w:type="continuationSeparator" w:id="0">
    <w:p w14:paraId="67DFD899" w14:textId="77777777" w:rsidR="004C3A8D" w:rsidRDefault="004C3A8D" w:rsidP="00C0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66EAE" w14:textId="77777777" w:rsidR="004C3A8D" w:rsidRDefault="004C3A8D" w:rsidP="00C00C4E">
      <w:pPr>
        <w:spacing w:after="0" w:line="240" w:lineRule="auto"/>
      </w:pPr>
      <w:r>
        <w:separator/>
      </w:r>
    </w:p>
  </w:footnote>
  <w:footnote w:type="continuationSeparator" w:id="0">
    <w:p w14:paraId="11C89DF8" w14:textId="77777777" w:rsidR="004C3A8D" w:rsidRDefault="004C3A8D" w:rsidP="00C00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60DFF"/>
    <w:multiLevelType w:val="multilevel"/>
    <w:tmpl w:val="42560DF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9C"/>
    <w:rsid w:val="FFBDD2B0"/>
    <w:rsid w:val="000F11B5"/>
    <w:rsid w:val="00130BFB"/>
    <w:rsid w:val="00153F6A"/>
    <w:rsid w:val="00164AA9"/>
    <w:rsid w:val="00182035"/>
    <w:rsid w:val="0018436C"/>
    <w:rsid w:val="00224C26"/>
    <w:rsid w:val="00284924"/>
    <w:rsid w:val="00292C79"/>
    <w:rsid w:val="00314AC5"/>
    <w:rsid w:val="0033018C"/>
    <w:rsid w:val="003555D8"/>
    <w:rsid w:val="00374C10"/>
    <w:rsid w:val="003A272B"/>
    <w:rsid w:val="003D6DF8"/>
    <w:rsid w:val="00407F35"/>
    <w:rsid w:val="00410E5A"/>
    <w:rsid w:val="00450646"/>
    <w:rsid w:val="004C3A8D"/>
    <w:rsid w:val="004C6F49"/>
    <w:rsid w:val="004E34AA"/>
    <w:rsid w:val="004F219C"/>
    <w:rsid w:val="004F2610"/>
    <w:rsid w:val="004F6AA4"/>
    <w:rsid w:val="00564FCF"/>
    <w:rsid w:val="005665F1"/>
    <w:rsid w:val="00572583"/>
    <w:rsid w:val="0058102F"/>
    <w:rsid w:val="005C6CD0"/>
    <w:rsid w:val="005E16B9"/>
    <w:rsid w:val="005E7834"/>
    <w:rsid w:val="00635B3D"/>
    <w:rsid w:val="006E37AF"/>
    <w:rsid w:val="006F32F8"/>
    <w:rsid w:val="00735D47"/>
    <w:rsid w:val="00815241"/>
    <w:rsid w:val="00834B5E"/>
    <w:rsid w:val="00843E69"/>
    <w:rsid w:val="00846D10"/>
    <w:rsid w:val="0088190F"/>
    <w:rsid w:val="008A4455"/>
    <w:rsid w:val="008C7E43"/>
    <w:rsid w:val="009563DE"/>
    <w:rsid w:val="00985B17"/>
    <w:rsid w:val="009A1B4F"/>
    <w:rsid w:val="00A328E3"/>
    <w:rsid w:val="00A33165"/>
    <w:rsid w:val="00A548BF"/>
    <w:rsid w:val="00B2764D"/>
    <w:rsid w:val="00B51CB8"/>
    <w:rsid w:val="00BA6F34"/>
    <w:rsid w:val="00C00C4E"/>
    <w:rsid w:val="00C33AB5"/>
    <w:rsid w:val="00CA6065"/>
    <w:rsid w:val="00CC49E2"/>
    <w:rsid w:val="00CD5EBB"/>
    <w:rsid w:val="00CE1DBF"/>
    <w:rsid w:val="00D0302D"/>
    <w:rsid w:val="00D776BE"/>
    <w:rsid w:val="00D832BA"/>
    <w:rsid w:val="00DE31A4"/>
    <w:rsid w:val="00DF4585"/>
    <w:rsid w:val="00E24CF3"/>
    <w:rsid w:val="00E32C49"/>
    <w:rsid w:val="00E40C40"/>
    <w:rsid w:val="00E73016"/>
    <w:rsid w:val="00EB5126"/>
    <w:rsid w:val="00EC038B"/>
    <w:rsid w:val="00EF5DB9"/>
    <w:rsid w:val="00F24D98"/>
    <w:rsid w:val="00FB6C37"/>
    <w:rsid w:val="37DFDD94"/>
    <w:rsid w:val="5FCB9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A1D83"/>
  <w15:docId w15:val="{90490228-FB68-4B6D-93F5-9F33C79D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宋体" w:hAnsi="Calibri" w:cs="Times New Roman"/>
      <w:sz w:val="22"/>
      <w:szCs w:val="22"/>
      <w:lang w:eastAsia="en-US"/>
    </w:rPr>
  </w:style>
  <w:style w:type="paragraph" w:styleId="1">
    <w:name w:val="heading 1"/>
    <w:basedOn w:val="a"/>
    <w:next w:val="a"/>
    <w:link w:val="1Char"/>
    <w:uiPriority w:val="9"/>
    <w:qFormat/>
    <w:pPr>
      <w:keepNext/>
      <w:keepLines/>
      <w:spacing w:before="480"/>
      <w:outlineLvl w:val="0"/>
    </w:pPr>
    <w:rPr>
      <w:rFonts w:ascii="Cambria" w:hAnsi="Cambria"/>
      <w:b/>
      <w:bCs/>
      <w:color w:val="366091"/>
      <w:sz w:val="28"/>
      <w:szCs w:val="28"/>
    </w:rPr>
  </w:style>
  <w:style w:type="paragraph" w:styleId="2">
    <w:name w:val="heading 2"/>
    <w:basedOn w:val="a"/>
    <w:next w:val="a"/>
    <w:link w:val="2Char"/>
    <w:uiPriority w:val="9"/>
    <w:qFormat/>
    <w:pPr>
      <w:keepNext/>
      <w:keepLines/>
      <w:spacing w:before="200"/>
      <w:outlineLvl w:val="1"/>
    </w:pPr>
    <w:rPr>
      <w:rFonts w:ascii="Cambria" w:hAnsi="Cambria"/>
      <w:b/>
      <w:bCs/>
      <w:color w:val="4F81BD"/>
      <w:sz w:val="26"/>
      <w:szCs w:val="26"/>
    </w:rPr>
  </w:style>
  <w:style w:type="paragraph" w:styleId="3">
    <w:name w:val="heading 3"/>
    <w:basedOn w:val="a"/>
    <w:next w:val="a"/>
    <w:link w:val="3Char"/>
    <w:uiPriority w:val="9"/>
    <w:qFormat/>
    <w:pPr>
      <w:keepNext/>
      <w:keepLines/>
      <w:spacing w:before="200"/>
      <w:outlineLvl w:val="2"/>
    </w:pPr>
    <w:rPr>
      <w:rFonts w:ascii="Cambria" w:hAnsi="Cambria"/>
      <w:b/>
      <w:bCs/>
      <w:color w:val="4F81BD"/>
    </w:rPr>
  </w:style>
  <w:style w:type="paragraph" w:styleId="4">
    <w:name w:val="heading 4"/>
    <w:basedOn w:val="a"/>
    <w:next w:val="a"/>
    <w:link w:val="4Char"/>
    <w:uiPriority w:val="9"/>
    <w:qFormat/>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qFormat/>
    <w:pPr>
      <w:spacing w:line="240" w:lineRule="auto"/>
    </w:pPr>
    <w:rPr>
      <w:b/>
      <w:bCs/>
      <w:color w:val="4F81BD"/>
      <w:sz w:val="18"/>
      <w:szCs w:val="18"/>
    </w:rPr>
  </w:style>
  <w:style w:type="paragraph" w:styleId="a5">
    <w:name w:val="footer"/>
    <w:basedOn w:val="a"/>
    <w:link w:val="Char"/>
    <w:uiPriority w:val="99"/>
    <w:unhideWhenUsed/>
    <w:pPr>
      <w:tabs>
        <w:tab w:val="center" w:pos="4153"/>
        <w:tab w:val="right" w:pos="8306"/>
      </w:tabs>
      <w:snapToGrid w:val="0"/>
      <w:spacing w:line="240" w:lineRule="auto"/>
    </w:pPr>
    <w:rPr>
      <w:sz w:val="18"/>
      <w:szCs w:val="18"/>
    </w:rPr>
  </w:style>
  <w:style w:type="paragraph" w:styleId="a6">
    <w:name w:val="header"/>
    <w:basedOn w:val="a"/>
    <w:link w:val="Char0"/>
    <w:uiPriority w:val="99"/>
    <w:unhideWhenUsed/>
    <w:qFormat/>
    <w:pPr>
      <w:tabs>
        <w:tab w:val="center" w:pos="4680"/>
        <w:tab w:val="right" w:pos="9360"/>
      </w:tabs>
    </w:pPr>
    <w:rPr>
      <w:rFonts w:asciiTheme="minorHAnsi" w:eastAsiaTheme="minorEastAsia" w:hAnsiTheme="minorHAnsi" w:cstheme="minorBidi"/>
      <w:kern w:val="2"/>
      <w:sz w:val="21"/>
      <w:lang w:eastAsia="zh-CN"/>
    </w:rPr>
  </w:style>
  <w:style w:type="paragraph" w:styleId="a7">
    <w:name w:val="Subtitle"/>
    <w:basedOn w:val="a"/>
    <w:next w:val="a"/>
    <w:link w:val="Char1"/>
    <w:uiPriority w:val="11"/>
    <w:qFormat/>
    <w:pPr>
      <w:ind w:left="86"/>
    </w:pPr>
    <w:rPr>
      <w:rFonts w:ascii="Cambria" w:hAnsi="Cambria"/>
      <w:i/>
      <w:iCs/>
      <w:color w:val="4F81BD"/>
      <w:spacing w:val="15"/>
      <w:kern w:val="2"/>
      <w:sz w:val="24"/>
      <w:szCs w:val="24"/>
      <w:lang w:eastAsia="zh-CN"/>
    </w:rPr>
  </w:style>
  <w:style w:type="paragraph" w:styleId="a8">
    <w:name w:val="Normal (Web)"/>
    <w:basedOn w:val="a"/>
    <w:uiPriority w:val="99"/>
    <w:semiHidden/>
    <w:unhideWhenUsed/>
    <w:pPr>
      <w:spacing w:before="100" w:beforeAutospacing="1" w:after="100" w:afterAutospacing="1" w:line="240" w:lineRule="auto"/>
    </w:pPr>
    <w:rPr>
      <w:rFonts w:ascii="宋体" w:hAnsi="宋体" w:cs="宋体"/>
      <w:sz w:val="24"/>
      <w:szCs w:val="24"/>
      <w:lang w:eastAsia="zh-CN"/>
    </w:rPr>
  </w:style>
  <w:style w:type="paragraph" w:styleId="a9">
    <w:name w:val="Title"/>
    <w:basedOn w:val="a"/>
    <w:next w:val="a"/>
    <w:link w:val="Char2"/>
    <w:uiPriority w:val="10"/>
    <w:qFormat/>
    <w:pPr>
      <w:pBdr>
        <w:bottom w:val="single" w:sz="8" w:space="4" w:color="4F81BD"/>
      </w:pBdr>
      <w:spacing w:after="300"/>
      <w:contextualSpacing/>
    </w:pPr>
    <w:rPr>
      <w:rFonts w:ascii="Cambria" w:hAnsi="Cambria"/>
      <w:color w:val="17365D"/>
      <w:spacing w:val="5"/>
      <w:kern w:val="28"/>
      <w:sz w:val="52"/>
      <w:szCs w:val="52"/>
      <w:lang w:eastAsia="zh-CN"/>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customStyle="1" w:styleId="NormalCharacter">
    <w:name w:val="NormalCharacter"/>
    <w:semiHidden/>
    <w:rPr>
      <w:rFonts w:ascii="Calibri" w:eastAsia="宋体" w:hAnsi="Calibri" w:cs="Times New Roman"/>
      <w:sz w:val="22"/>
      <w:szCs w:val="22"/>
      <w:lang w:val="en-US" w:eastAsia="en-US" w:bidi="ar-SA"/>
    </w:rPr>
  </w:style>
  <w:style w:type="character" w:customStyle="1" w:styleId="1Char">
    <w:name w:val="标题 1 Char"/>
    <w:basedOn w:val="a0"/>
    <w:link w:val="1"/>
    <w:uiPriority w:val="9"/>
    <w:qFormat/>
    <w:rPr>
      <w:rFonts w:ascii="Cambria" w:eastAsia="宋体" w:hAnsi="Cambria" w:cs="Times New Roman"/>
      <w:b/>
      <w:bCs/>
      <w:color w:val="366091"/>
      <w:kern w:val="0"/>
      <w:sz w:val="28"/>
      <w:szCs w:val="28"/>
      <w:lang w:eastAsia="en-US"/>
    </w:rPr>
  </w:style>
  <w:style w:type="character" w:customStyle="1" w:styleId="2Char">
    <w:name w:val="标题 2 Char"/>
    <w:basedOn w:val="a0"/>
    <w:link w:val="2"/>
    <w:uiPriority w:val="9"/>
    <w:qFormat/>
    <w:rPr>
      <w:rFonts w:ascii="Cambria" w:eastAsia="宋体" w:hAnsi="Cambria" w:cs="Times New Roman"/>
      <w:b/>
      <w:bCs/>
      <w:color w:val="4F81BD"/>
      <w:kern w:val="0"/>
      <w:sz w:val="26"/>
      <w:szCs w:val="26"/>
      <w:lang w:eastAsia="en-US"/>
    </w:rPr>
  </w:style>
  <w:style w:type="character" w:customStyle="1" w:styleId="3Char">
    <w:name w:val="标题 3 Char"/>
    <w:basedOn w:val="a0"/>
    <w:link w:val="3"/>
    <w:uiPriority w:val="9"/>
    <w:qFormat/>
    <w:rPr>
      <w:rFonts w:ascii="Cambria" w:eastAsia="宋体" w:hAnsi="Cambria" w:cs="Times New Roman"/>
      <w:b/>
      <w:bCs/>
      <w:color w:val="4F81BD"/>
      <w:kern w:val="0"/>
      <w:sz w:val="22"/>
      <w:lang w:eastAsia="en-US"/>
    </w:rPr>
  </w:style>
  <w:style w:type="character" w:customStyle="1" w:styleId="4Char">
    <w:name w:val="标题 4 Char"/>
    <w:basedOn w:val="a0"/>
    <w:link w:val="4"/>
    <w:uiPriority w:val="9"/>
    <w:qFormat/>
    <w:rPr>
      <w:rFonts w:ascii="Cambria" w:eastAsia="宋体" w:hAnsi="Cambria" w:cs="Times New Roman"/>
      <w:b/>
      <w:bCs/>
      <w:i/>
      <w:iCs/>
      <w:color w:val="4F81BD"/>
      <w:kern w:val="0"/>
      <w:sz w:val="22"/>
      <w:lang w:eastAsia="en-US"/>
    </w:rPr>
  </w:style>
  <w:style w:type="character" w:customStyle="1" w:styleId="Char0">
    <w:name w:val="页眉 Char"/>
    <w:basedOn w:val="a0"/>
    <w:link w:val="a6"/>
    <w:uiPriority w:val="99"/>
    <w:qFormat/>
  </w:style>
  <w:style w:type="character" w:customStyle="1" w:styleId="Char1">
    <w:name w:val="副标题 Char"/>
    <w:basedOn w:val="a0"/>
    <w:link w:val="a7"/>
    <w:uiPriority w:val="11"/>
    <w:qFormat/>
    <w:rPr>
      <w:rFonts w:ascii="Cambria" w:eastAsia="宋体" w:hAnsi="Cambria" w:cs="Times New Roman"/>
      <w:i/>
      <w:iCs/>
      <w:color w:val="4F81BD"/>
      <w:spacing w:val="15"/>
      <w:sz w:val="24"/>
      <w:szCs w:val="24"/>
    </w:rPr>
  </w:style>
  <w:style w:type="character" w:customStyle="1" w:styleId="Char2">
    <w:name w:val="标题 Char"/>
    <w:basedOn w:val="a0"/>
    <w:link w:val="a9"/>
    <w:uiPriority w:val="10"/>
    <w:qFormat/>
    <w:rPr>
      <w:rFonts w:ascii="Cambria" w:eastAsia="宋体" w:hAnsi="Cambria" w:cs="Times New Roman"/>
      <w:color w:val="17365D"/>
      <w:spacing w:val="5"/>
      <w:kern w:val="28"/>
      <w:sz w:val="52"/>
      <w:szCs w:val="52"/>
    </w:rPr>
  </w:style>
  <w:style w:type="character" w:customStyle="1" w:styleId="Char10">
    <w:name w:val="副标题 Char1"/>
    <w:basedOn w:val="a0"/>
    <w:uiPriority w:val="11"/>
    <w:rPr>
      <w:rFonts w:asciiTheme="majorHAnsi" w:eastAsia="宋体" w:hAnsiTheme="majorHAnsi" w:cstheme="majorBidi"/>
      <w:b/>
      <w:bCs/>
      <w:kern w:val="28"/>
      <w:sz w:val="32"/>
      <w:szCs w:val="32"/>
      <w:lang w:eastAsia="en-US"/>
    </w:rPr>
  </w:style>
  <w:style w:type="character" w:customStyle="1" w:styleId="Char11">
    <w:name w:val="页眉 Char1"/>
    <w:basedOn w:val="a0"/>
    <w:uiPriority w:val="99"/>
    <w:semiHidden/>
    <w:rPr>
      <w:rFonts w:ascii="Calibri" w:eastAsia="宋体" w:hAnsi="Calibri" w:cs="Times New Roman"/>
      <w:kern w:val="0"/>
      <w:sz w:val="18"/>
      <w:szCs w:val="18"/>
      <w:lang w:eastAsia="en-US"/>
    </w:rPr>
  </w:style>
  <w:style w:type="character" w:customStyle="1" w:styleId="Char12">
    <w:name w:val="标题 Char1"/>
    <w:basedOn w:val="a0"/>
    <w:uiPriority w:val="10"/>
    <w:rPr>
      <w:rFonts w:asciiTheme="majorHAnsi" w:eastAsia="宋体" w:hAnsiTheme="majorHAnsi" w:cstheme="majorBidi"/>
      <w:b/>
      <w:bCs/>
      <w:kern w:val="0"/>
      <w:sz w:val="32"/>
      <w:szCs w:val="32"/>
      <w:lang w:eastAsia="en-US"/>
    </w:rPr>
  </w:style>
  <w:style w:type="paragraph" w:customStyle="1" w:styleId="txt">
    <w:name w:val="txt"/>
    <w:basedOn w:val="a"/>
    <w:pPr>
      <w:spacing w:before="100" w:beforeAutospacing="1" w:after="100" w:afterAutospacing="1"/>
    </w:pPr>
  </w:style>
  <w:style w:type="character" w:customStyle="1" w:styleId="Char">
    <w:name w:val="页脚 Char"/>
    <w:basedOn w:val="a0"/>
    <w:link w:val="a5"/>
    <w:uiPriority w:val="99"/>
    <w:rPr>
      <w:rFonts w:ascii="Calibri" w:eastAsia="宋体" w:hAnsi="Calibri" w:cs="Times New Roman"/>
      <w:kern w:val="0"/>
      <w:sz w:val="18"/>
      <w:szCs w:val="18"/>
      <w:lang w:eastAsia="en-US"/>
    </w:rPr>
  </w:style>
  <w:style w:type="paragraph" w:styleId="ac">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8</Pages>
  <Words>575</Words>
  <Characters>3280</Characters>
  <Application>Microsoft Office Word</Application>
  <DocSecurity>0</DocSecurity>
  <Lines>27</Lines>
  <Paragraphs>7</Paragraphs>
  <ScaleCrop>false</ScaleCrop>
  <Company>Microsoft</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18</cp:revision>
  <dcterms:created xsi:type="dcterms:W3CDTF">2020-09-28T03:07:00Z</dcterms:created>
  <dcterms:modified xsi:type="dcterms:W3CDTF">2020-10-16T02:58:00Z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